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D12" w:rsidRPr="00F50D12" w:rsidRDefault="00F50D12" w:rsidP="002C111F">
      <w:pPr>
        <w:autoSpaceDE w:val="0"/>
        <w:autoSpaceDN w:val="0"/>
        <w:adjustRightInd w:val="0"/>
        <w:spacing w:line="360" w:lineRule="auto"/>
        <w:jc w:val="left"/>
        <w:rPr>
          <w:rFonts w:ascii="宋体" w:hAnsi="宋体"/>
          <w:sz w:val="36"/>
          <w:szCs w:val="36"/>
        </w:rPr>
      </w:pPr>
      <w:r w:rsidRPr="00F50D12">
        <w:rPr>
          <w:rFonts w:ascii="宋体" w:hAnsi="宋体" w:hint="eastAsia"/>
          <w:sz w:val="36"/>
          <w:szCs w:val="36"/>
        </w:rPr>
        <w:t>小试金刀</w:t>
      </w:r>
      <w:r w:rsidR="00504DD1">
        <w:rPr>
          <w:rFonts w:ascii="宋体" w:hAnsi="宋体" w:hint="eastAsia"/>
          <w:sz w:val="36"/>
          <w:szCs w:val="36"/>
        </w:rPr>
        <w:t>：基于</w:t>
      </w:r>
      <w:r w:rsidR="00504DD1" w:rsidRPr="00504DD1">
        <w:rPr>
          <w:rFonts w:ascii="宋体" w:hAnsi="宋体" w:hint="eastAsia"/>
          <w:sz w:val="36"/>
          <w:szCs w:val="36"/>
        </w:rPr>
        <w:t>散户舆情指数的计量分析</w:t>
      </w:r>
      <w:r w:rsidR="001B0BA1">
        <w:rPr>
          <w:rStyle w:val="a8"/>
          <w:rFonts w:ascii="宋体" w:hAnsi="宋体"/>
          <w:sz w:val="36"/>
          <w:szCs w:val="36"/>
        </w:rPr>
        <w:footnoteReference w:id="1"/>
      </w:r>
    </w:p>
    <w:p w:rsidR="00663049" w:rsidRDefault="002C111F" w:rsidP="002C111F">
      <w:pPr>
        <w:widowControl/>
        <w:rPr>
          <w:rFonts w:ascii="宋体" w:hAnsi="宋体"/>
          <w:szCs w:val="21"/>
        </w:rPr>
      </w:pPr>
      <w:r>
        <w:rPr>
          <w:rFonts w:ascii="宋体" w:hAnsi="宋体" w:hint="eastAsia"/>
          <w:szCs w:val="21"/>
        </w:rPr>
        <w:t>XXX</w:t>
      </w:r>
      <w:r>
        <w:rPr>
          <w:rStyle w:val="a8"/>
          <w:rFonts w:ascii="宋体" w:hAnsi="宋体"/>
          <w:szCs w:val="21"/>
        </w:rPr>
        <w:footnoteReference w:id="2"/>
      </w:r>
    </w:p>
    <w:p w:rsidR="00B36D00" w:rsidRDefault="00B36D00" w:rsidP="00663049">
      <w:pPr>
        <w:widowControl/>
        <w:spacing w:line="300" w:lineRule="atLeast"/>
        <w:ind w:firstLineChars="150" w:firstLine="315"/>
        <w:jc w:val="center"/>
        <w:rPr>
          <w:kern w:val="0"/>
        </w:rPr>
      </w:pPr>
    </w:p>
    <w:p w:rsidR="00BC2DD3" w:rsidRDefault="00B36D00" w:rsidP="00C75213">
      <w:pPr>
        <w:autoSpaceDE w:val="0"/>
        <w:autoSpaceDN w:val="0"/>
        <w:adjustRightInd w:val="0"/>
        <w:spacing w:line="360" w:lineRule="auto"/>
        <w:jc w:val="left"/>
        <w:rPr>
          <w:rFonts w:ascii="宋体" w:hAnsi="宋体"/>
        </w:rPr>
      </w:pPr>
      <w:r w:rsidRPr="00403D09">
        <w:rPr>
          <w:rFonts w:ascii="Times New Roman" w:hAnsi="Times New Roman" w:cs="Times New Roman" w:hint="eastAsia"/>
          <w:b/>
          <w:iCs/>
          <w:kern w:val="0"/>
          <w:szCs w:val="21"/>
        </w:rPr>
        <w:t>摘要：</w:t>
      </w:r>
      <w:r w:rsidR="00BC2DD3">
        <w:rPr>
          <w:rFonts w:ascii="宋体" w:hAnsi="宋体" w:hint="eastAsia"/>
        </w:rPr>
        <w:t>本文</w:t>
      </w:r>
      <w:r w:rsidR="00BC2DD3" w:rsidRPr="0084204E">
        <w:rPr>
          <w:rFonts w:ascii="宋体" w:hAnsi="宋体" w:hint="eastAsia"/>
        </w:rPr>
        <w:t>对</w:t>
      </w:r>
      <w:r w:rsidR="00BC2DD3">
        <w:rPr>
          <w:rFonts w:ascii="宋体" w:hAnsi="宋体" w:hint="eastAsia"/>
        </w:rPr>
        <w:t>新构造的投资者情绪指数-</w:t>
      </w:r>
      <w:r w:rsidR="00BC2DD3" w:rsidRPr="0084204E">
        <w:rPr>
          <w:rFonts w:ascii="宋体" w:hAnsi="宋体" w:hint="eastAsia"/>
        </w:rPr>
        <w:t>散户舆情指数</w:t>
      </w:r>
      <w:r w:rsidR="00BC2DD3">
        <w:rPr>
          <w:rFonts w:ascii="宋体" w:hAnsi="宋体" w:hint="eastAsia"/>
        </w:rPr>
        <w:t>的</w:t>
      </w:r>
      <w:r w:rsidR="00BC2DD3" w:rsidRPr="0084204E">
        <w:rPr>
          <w:rFonts w:ascii="宋体" w:hAnsi="宋体" w:hint="eastAsia"/>
        </w:rPr>
        <w:t>有效性进行初步评估。</w:t>
      </w:r>
      <w:r w:rsidR="00BC2DD3">
        <w:rPr>
          <w:rFonts w:ascii="宋体" w:hAnsi="宋体" w:hint="eastAsia"/>
        </w:rPr>
        <w:t>研究发现，</w:t>
      </w:r>
      <w:r w:rsidR="00BC2DD3" w:rsidRPr="00BF121E">
        <w:rPr>
          <w:rFonts w:ascii="宋体" w:hAnsi="宋体" w:hint="eastAsia"/>
        </w:rPr>
        <w:t>上证指数收益率和散户舆情指数的相关系数高达</w:t>
      </w:r>
      <w:r w:rsidR="00BC2DD3" w:rsidRPr="00BF121E">
        <w:rPr>
          <w:rFonts w:ascii="宋体" w:hAnsi="宋体"/>
        </w:rPr>
        <w:t>0.81</w:t>
      </w:r>
      <w:r w:rsidR="00BC2DD3" w:rsidRPr="00BF121E">
        <w:rPr>
          <w:rFonts w:ascii="宋体" w:hAnsi="宋体" w:hint="eastAsia"/>
        </w:rPr>
        <w:t>，表明散户舆情指数能够较好</w:t>
      </w:r>
      <w:r w:rsidR="00BC2DD3">
        <w:rPr>
          <w:rFonts w:ascii="宋体" w:hAnsi="宋体" w:hint="eastAsia"/>
        </w:rPr>
        <w:t>地刻画散户投资者针对上证指数收益率（涨跌幅率）所表现出来的情绪；</w:t>
      </w:r>
      <w:r w:rsidR="00BC2DD3" w:rsidRPr="0084204E">
        <w:rPr>
          <w:rFonts w:ascii="宋体" w:hAnsi="宋体" w:hint="eastAsia"/>
        </w:rPr>
        <w:t>散户舆情指数对上证指数</w:t>
      </w:r>
      <w:r w:rsidR="00A44B1E" w:rsidRPr="00A44B1E">
        <w:rPr>
          <w:rFonts w:ascii="宋体" w:hAnsi="宋体" w:hint="eastAsia"/>
        </w:rPr>
        <w:t>超额</w:t>
      </w:r>
      <w:r w:rsidR="00BC2DD3" w:rsidRPr="0084204E">
        <w:rPr>
          <w:rFonts w:ascii="宋体" w:hAnsi="宋体" w:hint="eastAsia"/>
        </w:rPr>
        <w:t>收益率存在显著正的</w:t>
      </w:r>
      <w:r w:rsidR="00BC2DD3">
        <w:rPr>
          <w:rFonts w:ascii="宋体" w:hAnsi="宋体" w:hint="eastAsia"/>
        </w:rPr>
        <w:t>同期</w:t>
      </w:r>
      <w:r w:rsidR="00BC2DD3" w:rsidRPr="0084204E">
        <w:rPr>
          <w:rFonts w:ascii="宋体" w:hAnsi="宋体" w:hint="eastAsia"/>
        </w:rPr>
        <w:t>影响，散户舆情指数的滞后一期值对上证指数</w:t>
      </w:r>
      <w:r w:rsidR="00467D18">
        <w:rPr>
          <w:rFonts w:ascii="宋体" w:hAnsi="宋体" w:hint="eastAsia"/>
        </w:rPr>
        <w:t>超额</w:t>
      </w:r>
      <w:r w:rsidR="00BC2DD3" w:rsidRPr="0084204E">
        <w:rPr>
          <w:rFonts w:ascii="宋体" w:hAnsi="宋体" w:hint="eastAsia"/>
        </w:rPr>
        <w:t>收益率存在显著负的影响，模型的拟合优度</w:t>
      </w:r>
      <w:bookmarkStart w:id="1" w:name="OLE_LINK15"/>
      <w:bookmarkStart w:id="2" w:name="OLE_LINK16"/>
      <m:oMath>
        <m:sSup>
          <m:sSupPr>
            <m:ctrlPr>
              <w:rPr>
                <w:rFonts w:ascii="Cambria Math" w:hAnsi="Cambria Math"/>
              </w:rPr>
            </m:ctrlPr>
          </m:sSupPr>
          <m:e>
            <m:r>
              <w:rPr>
                <w:rFonts w:ascii="Cambria Math" w:hAnsi="Cambria Math" w:hint="eastAsia"/>
              </w:rPr>
              <m:t>R</m:t>
            </m:r>
          </m:e>
          <m:sup>
            <m:r>
              <w:rPr>
                <w:rFonts w:ascii="Cambria Math" w:hAnsi="Cambria Math" w:hint="eastAsia"/>
              </w:rPr>
              <m:t>2</m:t>
            </m:r>
          </m:sup>
        </m:sSup>
      </m:oMath>
      <w:bookmarkEnd w:id="1"/>
      <w:bookmarkEnd w:id="2"/>
      <w:r w:rsidR="00BC2DD3" w:rsidRPr="0084204E">
        <w:rPr>
          <w:rFonts w:ascii="宋体" w:hAnsi="宋体" w:hint="eastAsia"/>
        </w:rPr>
        <w:t>达到0.76，表明散户舆情指数</w:t>
      </w:r>
      <w:r w:rsidR="00BC2DD3">
        <w:rPr>
          <w:rFonts w:ascii="宋体" w:hAnsi="宋体" w:hint="eastAsia"/>
        </w:rPr>
        <w:t>短期</w:t>
      </w:r>
      <w:r w:rsidR="00BC2DD3" w:rsidRPr="0084204E">
        <w:rPr>
          <w:rFonts w:ascii="宋体" w:hAnsi="宋体" w:hint="eastAsia"/>
        </w:rPr>
        <w:t>对上证指数</w:t>
      </w:r>
      <w:r w:rsidR="00A44B1E" w:rsidRPr="00A44B1E">
        <w:rPr>
          <w:rFonts w:ascii="宋体" w:hAnsi="宋体" w:hint="eastAsia"/>
        </w:rPr>
        <w:t>超额</w:t>
      </w:r>
      <w:r w:rsidR="00BC2DD3" w:rsidRPr="0084204E">
        <w:rPr>
          <w:rFonts w:ascii="宋体" w:hAnsi="宋体" w:hint="eastAsia"/>
        </w:rPr>
        <w:t>收益率有较高的</w:t>
      </w:r>
      <w:r w:rsidR="00BC2DD3">
        <w:rPr>
          <w:rFonts w:ascii="宋体" w:hAnsi="宋体" w:hint="eastAsia"/>
        </w:rPr>
        <w:t>预测能力</w:t>
      </w:r>
      <w:r w:rsidR="00BC2DD3" w:rsidRPr="0084204E">
        <w:rPr>
          <w:rFonts w:ascii="宋体" w:hAnsi="宋体" w:hint="eastAsia"/>
        </w:rPr>
        <w:t>。</w:t>
      </w:r>
      <w:r w:rsidR="00BC2DD3">
        <w:rPr>
          <w:rFonts w:ascii="宋体" w:hAnsi="宋体" w:hint="eastAsia"/>
        </w:rPr>
        <w:t>以上研究表明，上海师范大学商学院</w:t>
      </w:r>
      <w:r w:rsidR="00BC2DD3" w:rsidRPr="0084204E">
        <w:rPr>
          <w:rFonts w:ascii="宋体" w:hAnsi="宋体" w:hint="eastAsia"/>
        </w:rPr>
        <w:t>新推出的散户舆情指数</w:t>
      </w:r>
      <w:r w:rsidR="00BC2DD3">
        <w:rPr>
          <w:rFonts w:ascii="宋体" w:hAnsi="宋体" w:hint="eastAsia"/>
        </w:rPr>
        <w:t>在刻画散户投资者情绪方面有较高的有效性，对</w:t>
      </w:r>
      <w:r w:rsidR="00BC2DD3" w:rsidRPr="0084204E">
        <w:rPr>
          <w:rFonts w:ascii="宋体" w:hAnsi="宋体" w:hint="eastAsia"/>
        </w:rPr>
        <w:t>上证指数</w:t>
      </w:r>
      <w:r w:rsidR="00BC2DD3">
        <w:rPr>
          <w:rFonts w:ascii="宋体" w:hAnsi="宋体" w:hint="eastAsia"/>
        </w:rPr>
        <w:t>超额</w:t>
      </w:r>
      <w:r w:rsidR="00BC2DD3" w:rsidRPr="0084204E">
        <w:rPr>
          <w:rFonts w:ascii="宋体" w:hAnsi="宋体" w:hint="eastAsia"/>
        </w:rPr>
        <w:t>收益率</w:t>
      </w:r>
      <w:r w:rsidR="00BC2DD3">
        <w:rPr>
          <w:rFonts w:ascii="宋体" w:hAnsi="宋体" w:hint="eastAsia"/>
        </w:rPr>
        <w:t>有一定的短期预测能力。</w:t>
      </w:r>
    </w:p>
    <w:p w:rsidR="00BC2DD3" w:rsidRPr="00BC2DD3" w:rsidRDefault="00BC2DD3" w:rsidP="00B36D00">
      <w:pPr>
        <w:autoSpaceDE w:val="0"/>
        <w:autoSpaceDN w:val="0"/>
        <w:adjustRightInd w:val="0"/>
        <w:spacing w:line="360" w:lineRule="auto"/>
        <w:jc w:val="left"/>
        <w:rPr>
          <w:rFonts w:asciiTheme="minorEastAsia" w:hAnsiTheme="minorEastAsia" w:cs="Times New Roman"/>
          <w:iCs/>
          <w:kern w:val="0"/>
          <w:szCs w:val="21"/>
        </w:rPr>
      </w:pPr>
    </w:p>
    <w:p w:rsidR="00B36D00" w:rsidRDefault="00B36D00" w:rsidP="00B36D00">
      <w:pPr>
        <w:spacing w:line="360" w:lineRule="auto"/>
        <w:jc w:val="left"/>
        <w:rPr>
          <w:color w:val="000000"/>
          <w:szCs w:val="21"/>
        </w:rPr>
      </w:pPr>
      <w:r w:rsidRPr="00C55707">
        <w:rPr>
          <w:rFonts w:hint="eastAsia"/>
          <w:b/>
          <w:color w:val="000000"/>
          <w:szCs w:val="21"/>
        </w:rPr>
        <w:t>关键词：</w:t>
      </w:r>
      <w:r w:rsidR="005306D1" w:rsidRPr="005306D1">
        <w:rPr>
          <w:rFonts w:hint="eastAsia"/>
          <w:color w:val="000000"/>
          <w:szCs w:val="21"/>
        </w:rPr>
        <w:t>投资者情绪</w:t>
      </w:r>
      <w:r>
        <w:rPr>
          <w:rFonts w:hint="eastAsia"/>
          <w:color w:val="000000"/>
          <w:szCs w:val="21"/>
        </w:rPr>
        <w:t>；</w:t>
      </w:r>
      <w:r w:rsidR="005306D1" w:rsidRPr="005306D1">
        <w:rPr>
          <w:rFonts w:hint="eastAsia"/>
          <w:color w:val="000000"/>
          <w:szCs w:val="21"/>
        </w:rPr>
        <w:t>散户舆情指数</w:t>
      </w:r>
      <w:r>
        <w:rPr>
          <w:rFonts w:hint="eastAsia"/>
          <w:color w:val="000000"/>
          <w:szCs w:val="21"/>
        </w:rPr>
        <w:t>；</w:t>
      </w:r>
      <w:r w:rsidR="005306D1" w:rsidRPr="005306D1">
        <w:rPr>
          <w:rFonts w:hint="eastAsia"/>
          <w:color w:val="000000"/>
          <w:szCs w:val="21"/>
        </w:rPr>
        <w:t>预测</w:t>
      </w:r>
    </w:p>
    <w:p w:rsidR="00B36D00" w:rsidRDefault="00B36D00" w:rsidP="00B36D00">
      <w:pPr>
        <w:jc w:val="left"/>
        <w:rPr>
          <w:b/>
        </w:rPr>
      </w:pPr>
      <w:r w:rsidRPr="00B774FE">
        <w:rPr>
          <w:rFonts w:hint="eastAsia"/>
          <w:b/>
        </w:rPr>
        <w:t>中图分类号：</w:t>
      </w:r>
      <w:r w:rsidRPr="00403D09">
        <w:rPr>
          <w:rFonts w:ascii="Book Antiqua" w:hAnsi="Book Antiqua" w:cs="Book Antiqua"/>
          <w:color w:val="000000"/>
          <w:sz w:val="23"/>
        </w:rPr>
        <w:t>F832.</w:t>
      </w:r>
      <w:r w:rsidR="004828D9">
        <w:rPr>
          <w:rFonts w:ascii="Book Antiqua" w:hAnsi="Book Antiqua" w:cs="Book Antiqua"/>
          <w:color w:val="000000"/>
          <w:sz w:val="23"/>
        </w:rPr>
        <w:t>48</w:t>
      </w:r>
      <w:r w:rsidR="001B0BA1">
        <w:rPr>
          <w:rFonts w:ascii="Book Antiqua" w:hAnsi="Book Antiqua" w:cs="Book Antiqua" w:hint="eastAsia"/>
          <w:color w:val="000000"/>
          <w:sz w:val="23"/>
        </w:rPr>
        <w:t xml:space="preserve">                </w:t>
      </w:r>
      <w:r w:rsidRPr="00B774FE">
        <w:rPr>
          <w:rFonts w:hint="eastAsia"/>
          <w:b/>
        </w:rPr>
        <w:t>文献标志码：</w:t>
      </w:r>
      <w:r w:rsidRPr="00B774FE">
        <w:rPr>
          <w:rFonts w:hint="eastAsia"/>
          <w:b/>
        </w:rPr>
        <w:t xml:space="preserve">A    </w:t>
      </w:r>
      <w:r w:rsidR="001B0BA1">
        <w:rPr>
          <w:rFonts w:hint="eastAsia"/>
          <w:b/>
        </w:rPr>
        <w:t xml:space="preserve">      </w:t>
      </w:r>
      <w:r w:rsidRPr="00B774FE">
        <w:rPr>
          <w:rFonts w:hint="eastAsia"/>
          <w:b/>
        </w:rPr>
        <w:t>文章编号：</w:t>
      </w:r>
      <w:r w:rsidR="00F32C8D">
        <w:rPr>
          <w:rFonts w:hint="eastAsia"/>
          <w:b/>
        </w:rPr>
        <w:t>2017-15</w:t>
      </w:r>
    </w:p>
    <w:p w:rsidR="00780AC8" w:rsidRDefault="00780AC8" w:rsidP="00B36D00">
      <w:pPr>
        <w:jc w:val="left"/>
        <w:rPr>
          <w:color w:val="000000"/>
          <w:szCs w:val="21"/>
        </w:rPr>
      </w:pPr>
    </w:p>
    <w:p w:rsidR="00FD23DF" w:rsidRDefault="00FD23DF">
      <w:pPr>
        <w:widowControl/>
        <w:jc w:val="left"/>
        <w:rPr>
          <w:rFonts w:ascii="宋体" w:eastAsia="宋体" w:hAnsi="宋体" w:cs="宋体"/>
          <w:b/>
          <w:color w:val="333333"/>
          <w:kern w:val="0"/>
          <w:sz w:val="28"/>
          <w:szCs w:val="28"/>
        </w:rPr>
      </w:pPr>
      <w:r>
        <w:rPr>
          <w:b/>
          <w:color w:val="333333"/>
          <w:sz w:val="28"/>
          <w:szCs w:val="28"/>
        </w:rPr>
        <w:br w:type="page"/>
      </w:r>
    </w:p>
    <w:p w:rsidR="003B323B" w:rsidRPr="00AE483C" w:rsidRDefault="00AE483C" w:rsidP="00AE483C">
      <w:pPr>
        <w:pStyle w:val="1"/>
      </w:pPr>
      <w:r>
        <w:rPr>
          <w:rFonts w:hint="eastAsia"/>
        </w:rPr>
        <w:lastRenderedPageBreak/>
        <w:t xml:space="preserve">1 </w:t>
      </w:r>
      <w:r w:rsidR="00906251" w:rsidRPr="00906251">
        <w:rPr>
          <w:rFonts w:hint="eastAsia"/>
        </w:rPr>
        <w:t>引言</w:t>
      </w:r>
    </w:p>
    <w:p w:rsidR="0056404D" w:rsidRDefault="00A443F1" w:rsidP="00260269">
      <w:pPr>
        <w:autoSpaceDE w:val="0"/>
        <w:autoSpaceDN w:val="0"/>
        <w:adjustRightIn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经典</w:t>
      </w:r>
      <w:r w:rsidR="00260269" w:rsidRPr="00260269">
        <w:rPr>
          <w:rFonts w:ascii="宋体" w:eastAsia="宋体" w:hAnsi="宋体" w:cs="Times New Roman" w:hint="eastAsia"/>
          <w:szCs w:val="21"/>
        </w:rPr>
        <w:t>金融理论认为，投资者情绪</w:t>
      </w:r>
      <w:r w:rsidR="0056404D">
        <w:rPr>
          <w:rFonts w:ascii="宋体" w:eastAsia="宋体" w:hAnsi="宋体" w:cs="Times New Roman" w:hint="eastAsia"/>
          <w:szCs w:val="21"/>
        </w:rPr>
        <w:t>不是</w:t>
      </w:r>
      <w:r w:rsidR="00260269" w:rsidRPr="00260269">
        <w:rPr>
          <w:rFonts w:ascii="宋体" w:eastAsia="宋体" w:hAnsi="宋体" w:cs="Times New Roman" w:hint="eastAsia"/>
          <w:szCs w:val="21"/>
        </w:rPr>
        <w:t>定价</w:t>
      </w:r>
      <w:r w:rsidR="0056404D">
        <w:rPr>
          <w:rFonts w:ascii="宋体" w:eastAsia="宋体" w:hAnsi="宋体" w:cs="Times New Roman" w:hint="eastAsia"/>
          <w:szCs w:val="21"/>
        </w:rPr>
        <w:t>因子</w:t>
      </w:r>
      <w:r w:rsidR="00260269" w:rsidRPr="00260269">
        <w:rPr>
          <w:rFonts w:ascii="宋体" w:eastAsia="宋体" w:hAnsi="宋体" w:cs="Times New Roman" w:hint="eastAsia"/>
          <w:szCs w:val="21"/>
        </w:rPr>
        <w:t>，</w:t>
      </w:r>
      <w:r w:rsidR="0056404D">
        <w:rPr>
          <w:rFonts w:ascii="宋体" w:eastAsia="宋体" w:hAnsi="宋体" w:cs="Times New Roman" w:hint="eastAsia"/>
          <w:szCs w:val="21"/>
        </w:rPr>
        <w:t>因为</w:t>
      </w:r>
      <w:r w:rsidR="0056404D" w:rsidRPr="00260269">
        <w:rPr>
          <w:rFonts w:ascii="宋体" w:eastAsia="宋体" w:hAnsi="宋体" w:cs="Times New Roman" w:hint="eastAsia"/>
          <w:szCs w:val="21"/>
        </w:rPr>
        <w:t>理性投资者的套利交易</w:t>
      </w:r>
      <w:r w:rsidR="0056404D">
        <w:rPr>
          <w:rFonts w:ascii="宋体" w:eastAsia="宋体" w:hAnsi="宋体" w:cs="Times New Roman" w:hint="eastAsia"/>
          <w:szCs w:val="21"/>
        </w:rPr>
        <w:t>能够</w:t>
      </w:r>
      <w:r w:rsidR="0056404D" w:rsidRPr="00260269">
        <w:rPr>
          <w:rFonts w:ascii="宋体" w:eastAsia="宋体" w:hAnsi="宋体" w:cs="Times New Roman" w:hint="eastAsia"/>
          <w:szCs w:val="21"/>
        </w:rPr>
        <w:t>消除</w:t>
      </w:r>
      <w:r w:rsidR="0056404D" w:rsidRPr="00260269">
        <w:rPr>
          <w:rFonts w:ascii="宋体" w:eastAsia="宋体" w:hAnsi="宋体" w:cs="Times New Roman"/>
          <w:szCs w:val="21"/>
        </w:rPr>
        <w:t>噪</w:t>
      </w:r>
      <w:proofErr w:type="gramStart"/>
      <w:r w:rsidR="0056404D" w:rsidRPr="00260269">
        <w:rPr>
          <w:rFonts w:ascii="宋体" w:eastAsia="宋体" w:hAnsi="宋体" w:cs="Times New Roman"/>
          <w:szCs w:val="21"/>
        </w:rPr>
        <w:t>音交易</w:t>
      </w:r>
      <w:proofErr w:type="gramEnd"/>
      <w:r w:rsidR="0056404D" w:rsidRPr="00260269">
        <w:rPr>
          <w:rFonts w:ascii="宋体" w:eastAsia="宋体" w:hAnsi="宋体" w:cs="Times New Roman"/>
          <w:szCs w:val="21"/>
        </w:rPr>
        <w:t>者</w:t>
      </w:r>
      <w:r w:rsidR="00260269" w:rsidRPr="00260269">
        <w:rPr>
          <w:rFonts w:ascii="宋体" w:eastAsia="宋体" w:hAnsi="宋体" w:cs="Times New Roman" w:hint="eastAsia"/>
          <w:szCs w:val="21"/>
        </w:rPr>
        <w:t>情绪导致的错误定价。然而，</w:t>
      </w:r>
      <w:r w:rsidR="0056404D">
        <w:rPr>
          <w:rFonts w:ascii="宋体" w:eastAsia="宋体" w:hAnsi="宋体" w:cs="Times New Roman" w:hint="eastAsia"/>
          <w:szCs w:val="21"/>
        </w:rPr>
        <w:t>现实中的</w:t>
      </w:r>
      <w:r w:rsidR="0056404D" w:rsidRPr="00260269">
        <w:rPr>
          <w:rFonts w:ascii="宋体" w:eastAsia="宋体" w:hAnsi="宋体" w:cs="Times New Roman" w:hint="eastAsia"/>
          <w:szCs w:val="21"/>
        </w:rPr>
        <w:t>套利</w:t>
      </w:r>
      <w:r w:rsidR="0056404D">
        <w:rPr>
          <w:rFonts w:ascii="宋体" w:eastAsia="宋体" w:hAnsi="宋体" w:cs="Times New Roman" w:hint="eastAsia"/>
          <w:szCs w:val="21"/>
        </w:rPr>
        <w:t>往往</w:t>
      </w:r>
      <w:r w:rsidR="0056404D" w:rsidRPr="00260269">
        <w:rPr>
          <w:rFonts w:ascii="宋体" w:eastAsia="宋体" w:hAnsi="宋体" w:cs="Times New Roman" w:hint="eastAsia"/>
          <w:szCs w:val="21"/>
        </w:rPr>
        <w:t>是有限的，和噪音交易者对立的交易</w:t>
      </w:r>
      <w:r w:rsidR="0056404D">
        <w:rPr>
          <w:rFonts w:ascii="宋体" w:eastAsia="宋体" w:hAnsi="宋体" w:cs="Times New Roman" w:hint="eastAsia"/>
          <w:szCs w:val="21"/>
        </w:rPr>
        <w:t>通常</w:t>
      </w:r>
      <w:r w:rsidR="0056404D" w:rsidRPr="00260269">
        <w:rPr>
          <w:rFonts w:ascii="宋体" w:eastAsia="宋体" w:hAnsi="宋体" w:cs="Times New Roman" w:hint="eastAsia"/>
          <w:szCs w:val="21"/>
        </w:rPr>
        <w:t>风险大</w:t>
      </w:r>
      <w:r w:rsidR="0056404D">
        <w:rPr>
          <w:rFonts w:ascii="宋体" w:eastAsia="宋体" w:hAnsi="宋体" w:cs="Times New Roman" w:hint="eastAsia"/>
          <w:szCs w:val="21"/>
        </w:rPr>
        <w:t>，</w:t>
      </w:r>
      <w:r w:rsidR="0056404D" w:rsidRPr="00260269">
        <w:rPr>
          <w:rFonts w:ascii="宋体" w:eastAsia="宋体" w:hAnsi="宋体" w:cs="Times New Roman" w:hint="eastAsia"/>
          <w:szCs w:val="21"/>
        </w:rPr>
        <w:t>成本高，因此，被量化为投资者情绪的噪音交易成为了影响股票价格的重要决定因素（</w:t>
      </w:r>
      <w:bookmarkStart w:id="3" w:name="OLE_LINK3"/>
      <w:bookmarkStart w:id="4" w:name="OLE_LINK4"/>
      <w:r w:rsidR="0056404D" w:rsidRPr="00260269">
        <w:rPr>
          <w:rFonts w:ascii="宋体" w:eastAsia="宋体" w:hAnsi="宋体" w:cs="Times New Roman"/>
          <w:szCs w:val="21"/>
        </w:rPr>
        <w:t xml:space="preserve">Baker and </w:t>
      </w:r>
      <w:proofErr w:type="spellStart"/>
      <w:r w:rsidR="0056404D" w:rsidRPr="00260269">
        <w:rPr>
          <w:rFonts w:ascii="宋体" w:eastAsia="宋体" w:hAnsi="宋体" w:cs="Times New Roman"/>
          <w:szCs w:val="21"/>
        </w:rPr>
        <w:t>Wurgler</w:t>
      </w:r>
      <w:proofErr w:type="spellEnd"/>
      <w:r w:rsidR="0056404D" w:rsidRPr="00260269">
        <w:rPr>
          <w:rFonts w:ascii="宋体" w:eastAsia="宋体" w:hAnsi="宋体" w:cs="Times New Roman" w:hint="eastAsia"/>
          <w:szCs w:val="21"/>
        </w:rPr>
        <w:t>，</w:t>
      </w:r>
      <w:r w:rsidR="0056404D" w:rsidRPr="00260269">
        <w:rPr>
          <w:rFonts w:ascii="宋体" w:eastAsia="宋体" w:hAnsi="宋体" w:cs="Times New Roman"/>
          <w:szCs w:val="21"/>
        </w:rPr>
        <w:t>2006</w:t>
      </w:r>
      <w:bookmarkEnd w:id="3"/>
      <w:bookmarkEnd w:id="4"/>
      <w:r w:rsidR="00644544">
        <w:rPr>
          <w:rFonts w:ascii="宋体" w:eastAsia="宋体" w:hAnsi="宋体" w:cs="Times New Roman" w:hint="eastAsia"/>
          <w:szCs w:val="21"/>
          <w:vertAlign w:val="superscript"/>
        </w:rPr>
        <w:t>[1]</w:t>
      </w:r>
      <w:r w:rsidR="0056404D" w:rsidRPr="00260269">
        <w:rPr>
          <w:rFonts w:ascii="宋体" w:eastAsia="宋体" w:hAnsi="宋体" w:cs="Times New Roman" w:hint="eastAsia"/>
          <w:szCs w:val="21"/>
        </w:rPr>
        <w:t>；</w:t>
      </w:r>
      <w:r w:rsidR="0056404D" w:rsidRPr="00260269">
        <w:rPr>
          <w:rFonts w:ascii="宋体" w:eastAsia="宋体" w:hAnsi="宋体" w:cs="Times New Roman"/>
          <w:szCs w:val="21"/>
        </w:rPr>
        <w:t>Brown and Cliff</w:t>
      </w:r>
      <w:r w:rsidR="0056404D" w:rsidRPr="00260269">
        <w:rPr>
          <w:rFonts w:ascii="宋体" w:eastAsia="宋体" w:hAnsi="宋体" w:cs="Times New Roman" w:hint="eastAsia"/>
          <w:szCs w:val="21"/>
        </w:rPr>
        <w:t>，</w:t>
      </w:r>
      <w:r w:rsidR="0056404D" w:rsidRPr="00260269">
        <w:rPr>
          <w:rFonts w:ascii="宋体" w:eastAsia="宋体" w:hAnsi="宋体" w:cs="Times New Roman"/>
          <w:szCs w:val="21"/>
        </w:rPr>
        <w:t>2005</w:t>
      </w:r>
      <w:r w:rsidR="00644544">
        <w:rPr>
          <w:rFonts w:ascii="宋体" w:eastAsia="宋体" w:hAnsi="宋体" w:cs="Times New Roman" w:hint="eastAsia"/>
          <w:szCs w:val="21"/>
          <w:vertAlign w:val="superscript"/>
        </w:rPr>
        <w:t>[2]</w:t>
      </w:r>
      <w:r w:rsidR="0056404D" w:rsidRPr="00260269">
        <w:rPr>
          <w:rFonts w:ascii="宋体" w:eastAsia="宋体" w:hAnsi="宋体" w:cs="Times New Roman"/>
          <w:szCs w:val="21"/>
        </w:rPr>
        <w:t>)</w:t>
      </w:r>
      <w:r w:rsidR="0056404D" w:rsidRPr="00260269">
        <w:rPr>
          <w:rFonts w:ascii="宋体" w:eastAsia="宋体" w:hAnsi="宋体" w:cs="Times New Roman" w:hint="eastAsia"/>
          <w:szCs w:val="21"/>
        </w:rPr>
        <w:t>。</w:t>
      </w:r>
    </w:p>
    <w:p w:rsidR="00367F2B" w:rsidRDefault="0056404D" w:rsidP="00294B2B">
      <w:pPr>
        <w:autoSpaceDE w:val="0"/>
        <w:autoSpaceDN w:val="0"/>
        <w:adjustRightInd w:val="0"/>
        <w:spacing w:line="360" w:lineRule="auto"/>
        <w:ind w:firstLineChars="200" w:firstLine="420"/>
        <w:jc w:val="left"/>
        <w:rPr>
          <w:rFonts w:ascii="宋体" w:eastAsia="宋体" w:hAnsi="宋体" w:cs="Times New Roman"/>
          <w:szCs w:val="21"/>
        </w:rPr>
      </w:pPr>
      <w:r w:rsidRPr="00CF4E53">
        <w:rPr>
          <w:rFonts w:ascii="宋体" w:hAnsi="宋体" w:hint="eastAsia"/>
        </w:rPr>
        <w:t>投资者情绪影响股票价格的前提是噪音交易者的存在和有限套利，中国股市是典型的噪音交易者主导的市场，理性投资者难以套利，</w:t>
      </w:r>
      <w:r w:rsidR="00294B2B">
        <w:rPr>
          <w:rFonts w:ascii="宋体" w:hAnsi="宋体" w:hint="eastAsia"/>
        </w:rPr>
        <w:t>特别是</w:t>
      </w:r>
      <w:r w:rsidR="00294B2B" w:rsidRPr="00294B2B">
        <w:rPr>
          <w:rFonts w:ascii="宋体" w:hAnsi="宋体" w:hint="eastAsia"/>
        </w:rPr>
        <w:t>2014年以来，中国股票市场经历了历史上最严重的动荡和危机，</w:t>
      </w:r>
      <w:bookmarkStart w:id="5" w:name="OLE_LINK9"/>
      <w:bookmarkStart w:id="6" w:name="OLE_LINK10"/>
      <w:r w:rsidR="00294B2B" w:rsidRPr="00294B2B">
        <w:rPr>
          <w:rFonts w:ascii="宋体" w:hAnsi="宋体" w:hint="eastAsia"/>
        </w:rPr>
        <w:t>不到一年的时间，</w:t>
      </w:r>
      <w:r w:rsidR="00294B2B" w:rsidRPr="00294B2B">
        <w:rPr>
          <w:rFonts w:ascii="宋体" w:hAnsi="宋体"/>
        </w:rPr>
        <w:t>上证</w:t>
      </w:r>
      <w:r w:rsidR="00294B2B" w:rsidRPr="00294B2B">
        <w:rPr>
          <w:rFonts w:ascii="宋体" w:hAnsi="宋体" w:hint="eastAsia"/>
        </w:rPr>
        <w:t>指数从2000点涨到5178点，涨幅超过</w:t>
      </w:r>
      <w:r w:rsidR="00294B2B" w:rsidRPr="00294B2B">
        <w:rPr>
          <w:rFonts w:ascii="宋体" w:hAnsi="宋体"/>
        </w:rPr>
        <w:t>150%，</w:t>
      </w:r>
      <w:r w:rsidR="00294B2B" w:rsidRPr="00294B2B">
        <w:rPr>
          <w:rFonts w:ascii="宋体" w:hAnsi="宋体" w:hint="eastAsia"/>
        </w:rPr>
        <w:t>之后</w:t>
      </w:r>
      <w:r w:rsidR="00294B2B" w:rsidRPr="00294B2B">
        <w:rPr>
          <w:rFonts w:ascii="宋体" w:hAnsi="宋体"/>
        </w:rPr>
        <w:t>2个月</w:t>
      </w:r>
      <w:r w:rsidR="00294B2B" w:rsidRPr="00294B2B">
        <w:rPr>
          <w:rFonts w:ascii="宋体" w:hAnsi="宋体" w:hint="eastAsia"/>
        </w:rPr>
        <w:t>又</w:t>
      </w:r>
      <w:r w:rsidR="00294B2B" w:rsidRPr="00294B2B">
        <w:rPr>
          <w:rFonts w:ascii="宋体" w:hAnsi="宋体"/>
        </w:rPr>
        <w:t>暴跌</w:t>
      </w:r>
      <w:r w:rsidR="00294B2B" w:rsidRPr="00294B2B">
        <w:rPr>
          <w:rFonts w:ascii="宋体" w:hAnsi="宋体" w:hint="eastAsia"/>
        </w:rPr>
        <w:t>了</w:t>
      </w:r>
      <w:r w:rsidR="00294B2B" w:rsidRPr="00294B2B">
        <w:rPr>
          <w:rFonts w:ascii="宋体" w:hAnsi="宋体"/>
        </w:rPr>
        <w:t>45%</w:t>
      </w:r>
      <w:r w:rsidR="00294B2B" w:rsidRPr="00294B2B">
        <w:rPr>
          <w:rFonts w:ascii="宋体" w:hAnsi="宋体" w:hint="eastAsia"/>
        </w:rPr>
        <w:t>，期间更是</w:t>
      </w:r>
      <w:r w:rsidR="00294B2B" w:rsidRPr="00294B2B">
        <w:rPr>
          <w:rFonts w:ascii="宋体" w:hAnsi="宋体"/>
        </w:rPr>
        <w:t>出现了千股涨停、千股</w:t>
      </w:r>
      <w:r w:rsidR="00294B2B" w:rsidRPr="00260269">
        <w:rPr>
          <w:rFonts w:ascii="宋体" w:eastAsia="宋体" w:hAnsi="宋体" w:cs="Times New Roman"/>
          <w:szCs w:val="21"/>
        </w:rPr>
        <w:t>跌停的历史奇观。</w:t>
      </w:r>
      <w:r w:rsidR="00294B2B" w:rsidRPr="00260269">
        <w:rPr>
          <w:rFonts w:ascii="宋体" w:eastAsia="宋体" w:hAnsi="宋体" w:cs="Times New Roman" w:hint="eastAsia"/>
          <w:szCs w:val="21"/>
        </w:rPr>
        <w:t>这些现象</w:t>
      </w:r>
      <w:r w:rsidR="00294B2B">
        <w:rPr>
          <w:rFonts w:cs="Times New Roman" w:hint="eastAsia"/>
          <w:szCs w:val="21"/>
        </w:rPr>
        <w:t>似乎只能</w:t>
      </w:r>
      <w:r w:rsidR="00294B2B" w:rsidRPr="00B60BA6">
        <w:rPr>
          <w:rFonts w:ascii="宋体" w:hAnsi="宋体" w:hint="eastAsia"/>
        </w:rPr>
        <w:t>解释为投资者</w:t>
      </w:r>
      <w:r w:rsidR="00294B2B">
        <w:rPr>
          <w:rFonts w:ascii="宋体" w:hAnsi="宋体" w:hint="eastAsia"/>
        </w:rPr>
        <w:t>情绪变化</w:t>
      </w:r>
      <w:r w:rsidR="00294B2B" w:rsidRPr="00B60BA6">
        <w:rPr>
          <w:rFonts w:ascii="宋体" w:hAnsi="宋体" w:hint="eastAsia"/>
        </w:rPr>
        <w:t>的结果</w:t>
      </w:r>
      <w:r w:rsidR="00294B2B">
        <w:rPr>
          <w:rFonts w:ascii="宋体" w:hAnsi="宋体" w:hint="eastAsia"/>
        </w:rPr>
        <w:t>，</w:t>
      </w:r>
      <w:r w:rsidR="00294B2B" w:rsidRPr="00B60BA6">
        <w:rPr>
          <w:rFonts w:ascii="宋体" w:hAnsi="宋体" w:hint="eastAsia"/>
        </w:rPr>
        <w:t>而不是</w:t>
      </w:r>
      <w:r w:rsidR="00294B2B">
        <w:rPr>
          <w:rFonts w:ascii="宋体" w:hAnsi="宋体" w:hint="eastAsia"/>
        </w:rPr>
        <w:t>经典金融理论揭示的基本面变化的结果</w:t>
      </w:r>
      <w:r w:rsidR="00294B2B">
        <w:rPr>
          <w:rFonts w:ascii="宋体" w:eastAsia="宋体" w:hAnsi="宋体" w:cs="Times New Roman" w:hint="eastAsia"/>
          <w:szCs w:val="21"/>
        </w:rPr>
        <w:t>。</w:t>
      </w:r>
      <w:bookmarkEnd w:id="5"/>
      <w:bookmarkEnd w:id="6"/>
      <w:r w:rsidR="00367F2B" w:rsidRPr="00367F2B">
        <w:rPr>
          <w:rFonts w:ascii="宋体" w:eastAsia="宋体" w:hAnsi="宋体" w:cs="Times New Roman" w:hint="eastAsia"/>
          <w:szCs w:val="21"/>
        </w:rPr>
        <w:t>不仅如此，</w:t>
      </w:r>
      <w:r w:rsidR="00367F2B" w:rsidRPr="00367F2B">
        <w:rPr>
          <w:rFonts w:ascii="宋体" w:eastAsia="宋体" w:hAnsi="宋体" w:cs="Times New Roman" w:hint="eastAsia"/>
          <w:bCs/>
          <w:szCs w:val="21"/>
        </w:rPr>
        <w:t>中国的机构投资者也</w:t>
      </w:r>
      <w:r w:rsidR="00367F2B">
        <w:rPr>
          <w:rFonts w:ascii="宋体" w:eastAsia="宋体" w:hAnsi="宋体" w:cs="Times New Roman" w:hint="eastAsia"/>
          <w:bCs/>
          <w:szCs w:val="21"/>
        </w:rPr>
        <w:t>常常</w:t>
      </w:r>
      <w:r w:rsidR="00367F2B" w:rsidRPr="00367F2B">
        <w:rPr>
          <w:rFonts w:ascii="宋体" w:eastAsia="宋体" w:hAnsi="宋体" w:cs="Times New Roman" w:hint="eastAsia"/>
          <w:bCs/>
          <w:szCs w:val="21"/>
        </w:rPr>
        <w:t>没有起到稳定股票市场的作用，</w:t>
      </w:r>
      <w:r w:rsidR="00367F2B" w:rsidRPr="00367F2B">
        <w:rPr>
          <w:rFonts w:ascii="宋体" w:eastAsia="宋体" w:hAnsi="宋体" w:cs="Times New Roman" w:hint="eastAsia"/>
          <w:szCs w:val="21"/>
        </w:rPr>
        <w:t>机构投资者的交易行为受市场趋势影响较大，没有发挥‘市场稳定器’的作用，仍是市场走势的被动接受者，</w:t>
      </w:r>
      <w:r w:rsidR="00367F2B" w:rsidRPr="00367F2B">
        <w:rPr>
          <w:rFonts w:ascii="宋体" w:eastAsia="宋体" w:hAnsi="宋体" w:cs="Times New Roman" w:hint="eastAsia"/>
          <w:bCs/>
          <w:szCs w:val="21"/>
        </w:rPr>
        <w:t>机构投资者行为</w:t>
      </w:r>
      <w:proofErr w:type="gramStart"/>
      <w:r w:rsidR="00367F2B" w:rsidRPr="00367F2B">
        <w:rPr>
          <w:rFonts w:ascii="宋体" w:eastAsia="宋体" w:hAnsi="宋体" w:cs="Times New Roman" w:hint="eastAsia"/>
          <w:bCs/>
          <w:szCs w:val="21"/>
        </w:rPr>
        <w:t>散户化</w:t>
      </w:r>
      <w:proofErr w:type="gramEnd"/>
      <w:r w:rsidR="00367F2B" w:rsidRPr="00367F2B">
        <w:rPr>
          <w:rFonts w:ascii="宋体" w:eastAsia="宋体" w:hAnsi="宋体" w:cs="Times New Roman" w:hint="eastAsia"/>
          <w:bCs/>
          <w:szCs w:val="21"/>
        </w:rPr>
        <w:t>也是中国股市的常态。因此，在这样的市场环境下，</w:t>
      </w:r>
      <w:r w:rsidR="00367F2B">
        <w:rPr>
          <w:rFonts w:ascii="宋体" w:eastAsia="宋体" w:hAnsi="宋体" w:cs="Times New Roman" w:hint="eastAsia"/>
          <w:bCs/>
          <w:szCs w:val="21"/>
        </w:rPr>
        <w:t>中国股票市场走势在</w:t>
      </w:r>
      <w:r w:rsidR="00367F2B" w:rsidRPr="00263D9D">
        <w:rPr>
          <w:rFonts w:ascii="宋体" w:eastAsia="宋体" w:hAnsi="宋体" w:cs="Times New Roman" w:hint="eastAsia"/>
          <w:bCs/>
          <w:szCs w:val="21"/>
        </w:rPr>
        <w:t>很大程度上</w:t>
      </w:r>
      <w:r w:rsidR="00367F2B">
        <w:rPr>
          <w:rFonts w:ascii="宋体" w:eastAsia="宋体" w:hAnsi="宋体" w:cs="Times New Roman" w:hint="eastAsia"/>
          <w:bCs/>
          <w:szCs w:val="21"/>
        </w:rPr>
        <w:t>会</w:t>
      </w:r>
      <w:r w:rsidR="00367F2B" w:rsidRPr="00263D9D">
        <w:rPr>
          <w:rFonts w:ascii="宋体" w:eastAsia="宋体" w:hAnsi="宋体" w:cs="Times New Roman" w:hint="eastAsia"/>
          <w:bCs/>
          <w:szCs w:val="21"/>
        </w:rPr>
        <w:t>受到</w:t>
      </w:r>
      <w:r w:rsidR="00367F2B">
        <w:rPr>
          <w:rFonts w:ascii="宋体" w:eastAsia="宋体" w:hAnsi="宋体" w:cs="Times New Roman" w:hint="eastAsia"/>
          <w:szCs w:val="21"/>
        </w:rPr>
        <w:t>投资者情绪</w:t>
      </w:r>
      <w:r w:rsidR="00367F2B" w:rsidRPr="00263D9D">
        <w:rPr>
          <w:rFonts w:ascii="宋体" w:eastAsia="宋体" w:hAnsi="宋体" w:cs="Times New Roman" w:hint="eastAsia"/>
          <w:szCs w:val="21"/>
        </w:rPr>
        <w:t>的影响</w:t>
      </w:r>
      <w:r w:rsidR="00367F2B">
        <w:rPr>
          <w:rFonts w:ascii="宋体" w:eastAsia="宋体" w:hAnsi="宋体" w:cs="Times New Roman" w:hint="eastAsia"/>
          <w:szCs w:val="21"/>
        </w:rPr>
        <w:t>。</w:t>
      </w:r>
    </w:p>
    <w:p w:rsidR="009E3BEA" w:rsidRDefault="009E3BEA" w:rsidP="009E3BEA">
      <w:pPr>
        <w:autoSpaceDE w:val="0"/>
        <w:autoSpaceDN w:val="0"/>
        <w:adjustRightInd w:val="0"/>
        <w:spacing w:line="360" w:lineRule="auto"/>
        <w:ind w:firstLineChars="200" w:firstLine="420"/>
        <w:jc w:val="left"/>
        <w:rPr>
          <w:rFonts w:ascii="宋体" w:hAnsi="宋体"/>
        </w:rPr>
      </w:pPr>
      <w:r w:rsidRPr="00CE732E">
        <w:rPr>
          <w:rFonts w:ascii="宋体" w:hAnsi="宋体" w:hint="eastAsia"/>
        </w:rPr>
        <w:t>正如</w:t>
      </w:r>
      <w:proofErr w:type="spellStart"/>
      <w:r w:rsidRPr="00AF3542">
        <w:rPr>
          <w:rFonts w:ascii="宋体" w:hAnsi="宋体"/>
        </w:rPr>
        <w:t>Beerand</w:t>
      </w:r>
      <w:proofErr w:type="spellEnd"/>
      <w:r w:rsidRPr="00AF3542">
        <w:rPr>
          <w:rFonts w:ascii="宋体" w:hAnsi="宋体"/>
        </w:rPr>
        <w:t xml:space="preserve"> </w:t>
      </w:r>
      <w:proofErr w:type="spellStart"/>
      <w:r w:rsidRPr="00AF3542">
        <w:rPr>
          <w:rFonts w:ascii="宋体" w:hAnsi="宋体"/>
        </w:rPr>
        <w:t>Zouaoui</w:t>
      </w:r>
      <w:proofErr w:type="spellEnd"/>
      <w:r w:rsidRPr="00AF3542">
        <w:rPr>
          <w:rFonts w:ascii="宋体" w:hAnsi="宋体" w:hint="eastAsia"/>
        </w:rPr>
        <w:t>（2013）</w:t>
      </w:r>
      <w:r w:rsidR="008116E5">
        <w:rPr>
          <w:rFonts w:ascii="宋体" w:hAnsi="宋体" w:hint="eastAsia"/>
          <w:vertAlign w:val="superscript"/>
        </w:rPr>
        <w:t>[3]</w:t>
      </w:r>
      <w:r w:rsidRPr="00CE732E">
        <w:rPr>
          <w:rFonts w:ascii="宋体" w:hAnsi="宋体" w:hint="eastAsia"/>
        </w:rPr>
        <w:t>所说，现在问题不再是投资者情绪是否影响股票价格，而是如何测量投资者情绪，以及确定其有效性。</w:t>
      </w:r>
      <w:r>
        <w:rPr>
          <w:rFonts w:ascii="宋体" w:hAnsi="宋体" w:hint="eastAsia"/>
        </w:rPr>
        <w:t>目前，</w:t>
      </w:r>
      <w:r w:rsidRPr="004A798E">
        <w:rPr>
          <w:rFonts w:ascii="宋体" w:hAnsi="宋体" w:hint="eastAsia"/>
        </w:rPr>
        <w:t>国内</w:t>
      </w:r>
      <w:r>
        <w:rPr>
          <w:rFonts w:ascii="宋体" w:hAnsi="宋体" w:hint="eastAsia"/>
        </w:rPr>
        <w:t>的相关研究在借鉴国外的测量指标的基础上构造了一些情绪指数，取得了一定的成果</w:t>
      </w:r>
      <w:r w:rsidRPr="004A798E">
        <w:rPr>
          <w:rFonts w:ascii="宋体" w:hAnsi="宋体" w:hint="eastAsia"/>
        </w:rPr>
        <w:t>。</w:t>
      </w:r>
      <w:r>
        <w:rPr>
          <w:rFonts w:ascii="宋体" w:hAnsi="宋体" w:hint="eastAsia"/>
        </w:rPr>
        <w:t>由于</w:t>
      </w:r>
      <w:r w:rsidRPr="004A798E">
        <w:rPr>
          <w:rFonts w:ascii="宋体" w:hAnsi="宋体" w:hint="eastAsia"/>
        </w:rPr>
        <w:t>各国金融市场</w:t>
      </w:r>
      <w:r>
        <w:rPr>
          <w:rFonts w:ascii="宋体" w:hAnsi="宋体" w:hint="eastAsia"/>
        </w:rPr>
        <w:t>的</w:t>
      </w:r>
      <w:r w:rsidRPr="004A798E">
        <w:rPr>
          <w:rFonts w:ascii="宋体" w:hAnsi="宋体" w:hint="eastAsia"/>
        </w:rPr>
        <w:t>运行特征</w:t>
      </w:r>
      <w:r>
        <w:rPr>
          <w:rFonts w:ascii="宋体" w:hAnsi="宋体" w:hint="eastAsia"/>
        </w:rPr>
        <w:t>存在较大差异，</w:t>
      </w:r>
      <w:r w:rsidRPr="004A798E">
        <w:rPr>
          <w:rFonts w:ascii="宋体" w:hAnsi="宋体" w:hint="eastAsia"/>
        </w:rPr>
        <w:t>借鉴国外经典文献投资者情绪的测量指标</w:t>
      </w:r>
      <w:r>
        <w:rPr>
          <w:rFonts w:ascii="宋体" w:hAnsi="宋体" w:hint="eastAsia"/>
        </w:rPr>
        <w:t>来测量中国股票市场的投资者情绪是否合适，值得在未来进一步研究。</w:t>
      </w:r>
    </w:p>
    <w:p w:rsidR="00D91F1B" w:rsidRPr="00BA0AC4" w:rsidRDefault="00012F56" w:rsidP="00D91F1B">
      <w:pPr>
        <w:autoSpaceDE w:val="0"/>
        <w:autoSpaceDN w:val="0"/>
        <w:adjustRightInd w:val="0"/>
        <w:spacing w:line="360" w:lineRule="auto"/>
        <w:ind w:firstLineChars="200" w:firstLine="420"/>
        <w:jc w:val="left"/>
        <w:rPr>
          <w:rFonts w:ascii="宋体" w:hAnsi="宋体"/>
        </w:rPr>
      </w:pPr>
      <w:r>
        <w:rPr>
          <w:rFonts w:ascii="宋体" w:hAnsi="宋体" w:hint="eastAsia"/>
        </w:rPr>
        <w:t>2016年年底，</w:t>
      </w:r>
      <w:r w:rsidR="00D91F1B">
        <w:rPr>
          <w:rFonts w:ascii="宋体" w:hAnsi="宋体" w:hint="eastAsia"/>
        </w:rPr>
        <w:t>上海师范大学商学院隆重推出了</w:t>
      </w:r>
      <w:r w:rsidR="00610566">
        <w:rPr>
          <w:rFonts w:ascii="宋体" w:hAnsi="宋体" w:hint="eastAsia"/>
        </w:rPr>
        <w:t>一个新的投资者情绪</w:t>
      </w:r>
      <w:r>
        <w:rPr>
          <w:rFonts w:ascii="宋体" w:hAnsi="宋体" w:hint="eastAsia"/>
        </w:rPr>
        <w:t>测量指标—</w:t>
      </w:r>
      <w:r w:rsidR="00D91F1B" w:rsidRPr="0084204E">
        <w:rPr>
          <w:rFonts w:ascii="宋体" w:hAnsi="宋体" w:hint="eastAsia"/>
        </w:rPr>
        <w:t>散户舆情指数。</w:t>
      </w:r>
      <w:r w:rsidRPr="0084204E">
        <w:rPr>
          <w:rFonts w:ascii="宋体" w:hAnsi="宋体" w:hint="eastAsia"/>
        </w:rPr>
        <w:t>散户舆情</w:t>
      </w:r>
      <w:r w:rsidRPr="00786D21">
        <w:rPr>
          <w:rFonts w:ascii="宋体" w:hAnsi="宋体" w:hint="eastAsia"/>
        </w:rPr>
        <w:t>指数</w:t>
      </w:r>
      <w:r>
        <w:rPr>
          <w:rFonts w:ascii="宋体" w:hAnsi="宋体" w:hint="eastAsia"/>
        </w:rPr>
        <w:t>测量</w:t>
      </w:r>
      <w:r w:rsidRPr="00786D21">
        <w:rPr>
          <w:rFonts w:ascii="宋体" w:hAnsi="宋体" w:hint="eastAsia"/>
        </w:rPr>
        <w:t>全程由R语言完成，其基本过程包含了数据采集（股吧论坛）——数据清理——分词——词性分析——情绪标记——结果生成，共6个环节</w:t>
      </w:r>
      <w:r w:rsidR="00222940">
        <w:rPr>
          <w:rFonts w:ascii="宋体" w:hAnsi="宋体" w:hint="eastAsia"/>
        </w:rPr>
        <w:t>，通过</w:t>
      </w:r>
      <w:r w:rsidR="00434C7B" w:rsidRPr="00434C7B">
        <w:rPr>
          <w:rFonts w:ascii="宋体" w:hAnsi="宋体" w:hint="eastAsia"/>
        </w:rPr>
        <w:t>爬虫技</w:t>
      </w:r>
      <w:r>
        <w:rPr>
          <w:rFonts w:ascii="宋体" w:hAnsi="宋体" w:hint="eastAsia"/>
        </w:rPr>
        <w:t>术采集相关论坛散户评论，通过情感标注，将文本信息转化为</w:t>
      </w:r>
      <w:r w:rsidRPr="00434C7B">
        <w:rPr>
          <w:rFonts w:ascii="宋体" w:hAnsi="宋体" w:hint="eastAsia"/>
        </w:rPr>
        <w:t>散户</w:t>
      </w:r>
      <w:r>
        <w:rPr>
          <w:rFonts w:ascii="宋体" w:hAnsi="宋体" w:hint="eastAsia"/>
        </w:rPr>
        <w:t>舆情指数</w:t>
      </w:r>
      <w:r w:rsidR="002270FE">
        <w:rPr>
          <w:rFonts w:ascii="宋体" w:hAnsi="宋体" w:hint="eastAsia"/>
        </w:rPr>
        <w:t>。</w:t>
      </w:r>
      <w:r w:rsidR="00434C7B" w:rsidRPr="00434C7B">
        <w:rPr>
          <w:rFonts w:ascii="宋体" w:hAnsi="宋体" w:hint="eastAsia"/>
        </w:rPr>
        <w:t>为了更加生动</w:t>
      </w:r>
      <w:r>
        <w:rPr>
          <w:rFonts w:ascii="宋体" w:hAnsi="宋体" w:hint="eastAsia"/>
        </w:rPr>
        <w:t>地</w:t>
      </w:r>
      <w:r w:rsidR="00434C7B" w:rsidRPr="00434C7B">
        <w:rPr>
          <w:rFonts w:ascii="宋体" w:hAnsi="宋体" w:hint="eastAsia"/>
        </w:rPr>
        <w:t>展现</w:t>
      </w:r>
      <w:r w:rsidRPr="0084204E">
        <w:rPr>
          <w:rFonts w:ascii="宋体" w:hAnsi="宋体" w:hint="eastAsia"/>
        </w:rPr>
        <w:t>散户舆情</w:t>
      </w:r>
      <w:r w:rsidR="00434C7B" w:rsidRPr="00434C7B">
        <w:rPr>
          <w:rFonts w:ascii="宋体" w:hAnsi="宋体" w:hint="eastAsia"/>
        </w:rPr>
        <w:t>指数</w:t>
      </w:r>
      <w:r>
        <w:rPr>
          <w:rFonts w:ascii="宋体" w:hAnsi="宋体" w:hint="eastAsia"/>
        </w:rPr>
        <w:t>的</w:t>
      </w:r>
      <w:r w:rsidR="00434C7B" w:rsidRPr="00434C7B">
        <w:rPr>
          <w:rFonts w:ascii="宋体" w:hAnsi="宋体" w:hint="eastAsia"/>
        </w:rPr>
        <w:t>状态，</w:t>
      </w:r>
      <w:r>
        <w:rPr>
          <w:rFonts w:ascii="宋体" w:hAnsi="宋体" w:hint="eastAsia"/>
        </w:rPr>
        <w:t>专门</w:t>
      </w:r>
      <w:r w:rsidR="00434C7B" w:rsidRPr="00434C7B">
        <w:rPr>
          <w:rFonts w:ascii="宋体" w:hAnsi="宋体" w:hint="eastAsia"/>
        </w:rPr>
        <w:t>设计“金爷”角色</w:t>
      </w:r>
      <w:r>
        <w:rPr>
          <w:rFonts w:ascii="宋体" w:hAnsi="宋体" w:hint="eastAsia"/>
        </w:rPr>
        <w:t>，并赋予</w:t>
      </w:r>
      <w:r w:rsidR="00434C7B" w:rsidRPr="00434C7B">
        <w:rPr>
          <w:rFonts w:ascii="宋体" w:hAnsi="宋体" w:hint="eastAsia"/>
        </w:rPr>
        <w:t>“金爷”5</w:t>
      </w:r>
      <w:r>
        <w:rPr>
          <w:rFonts w:ascii="宋体" w:hAnsi="宋体" w:hint="eastAsia"/>
        </w:rPr>
        <w:t>个表情，分别用来反映不同的散户情绪状态</w:t>
      </w:r>
      <w:r w:rsidR="00C53D4D">
        <w:rPr>
          <w:rStyle w:val="a8"/>
          <w:rFonts w:ascii="宋体" w:hAnsi="宋体"/>
        </w:rPr>
        <w:footnoteReference w:id="3"/>
      </w:r>
      <w:r w:rsidR="00C53D4D">
        <w:rPr>
          <w:rFonts w:ascii="宋体" w:hAnsi="宋体" w:hint="eastAsia"/>
        </w:rPr>
        <w:t>。</w:t>
      </w:r>
      <w:r>
        <w:rPr>
          <w:rFonts w:ascii="宋体" w:hAnsi="宋体" w:hint="eastAsia"/>
        </w:rPr>
        <w:t>本文试图</w:t>
      </w:r>
      <w:r w:rsidR="00D91F1B" w:rsidRPr="0084204E">
        <w:rPr>
          <w:rFonts w:ascii="宋体" w:hAnsi="宋体" w:hint="eastAsia"/>
        </w:rPr>
        <w:t>根据半年的散户舆情指数数据，对</w:t>
      </w:r>
      <w:r w:rsidR="00313583">
        <w:rPr>
          <w:rFonts w:ascii="宋体" w:hAnsi="宋体" w:hint="eastAsia"/>
        </w:rPr>
        <w:t>新构造的投资者情绪指数-</w:t>
      </w:r>
      <w:r w:rsidRPr="0084204E">
        <w:rPr>
          <w:rFonts w:ascii="宋体" w:hAnsi="宋体" w:hint="eastAsia"/>
        </w:rPr>
        <w:t>散户舆情指数</w:t>
      </w:r>
      <w:r>
        <w:rPr>
          <w:rFonts w:ascii="宋体" w:hAnsi="宋体" w:hint="eastAsia"/>
        </w:rPr>
        <w:t>的</w:t>
      </w:r>
      <w:r w:rsidR="00D91F1B" w:rsidRPr="0084204E">
        <w:rPr>
          <w:rFonts w:ascii="宋体" w:hAnsi="宋体" w:hint="eastAsia"/>
        </w:rPr>
        <w:t>有效性进行初步评估。</w:t>
      </w:r>
    </w:p>
    <w:p w:rsidR="00367F2B" w:rsidRPr="00012F56" w:rsidRDefault="00367F2B" w:rsidP="007159EC">
      <w:pPr>
        <w:tabs>
          <w:tab w:val="center" w:pos="4535"/>
        </w:tabs>
        <w:spacing w:afterLines="20" w:after="62" w:line="276" w:lineRule="auto"/>
        <w:ind w:firstLineChars="200" w:firstLine="422"/>
        <w:rPr>
          <w:rFonts w:ascii="宋体" w:hAnsi="宋体"/>
          <w:b/>
        </w:rPr>
      </w:pPr>
    </w:p>
    <w:p w:rsidR="00504DD1" w:rsidRPr="00906251" w:rsidRDefault="00AE483C" w:rsidP="00AE483C">
      <w:pPr>
        <w:pStyle w:val="1"/>
      </w:pPr>
      <w:r>
        <w:rPr>
          <w:rFonts w:hint="eastAsia"/>
        </w:rPr>
        <w:lastRenderedPageBreak/>
        <w:t xml:space="preserve">2 </w:t>
      </w:r>
      <w:r w:rsidR="00504DD1" w:rsidRPr="00906251">
        <w:rPr>
          <w:rFonts w:hint="eastAsia"/>
        </w:rPr>
        <w:t>文献综述</w:t>
      </w:r>
    </w:p>
    <w:p w:rsidR="00012F56" w:rsidRDefault="00012F56" w:rsidP="00012F56">
      <w:pPr>
        <w:autoSpaceDE w:val="0"/>
        <w:autoSpaceDN w:val="0"/>
        <w:adjustRightInd w:val="0"/>
        <w:spacing w:line="360" w:lineRule="auto"/>
        <w:ind w:firstLineChars="200" w:firstLine="420"/>
        <w:jc w:val="left"/>
        <w:rPr>
          <w:rFonts w:ascii="宋体" w:hAnsi="宋体"/>
        </w:rPr>
      </w:pPr>
      <w:r>
        <w:rPr>
          <w:rFonts w:ascii="宋体" w:hAnsi="宋体" w:hint="eastAsia"/>
        </w:rPr>
        <w:t>国内外关注投资者情绪的研究主要集中在</w:t>
      </w:r>
      <w:r>
        <w:rPr>
          <w:rFonts w:hint="eastAsia"/>
        </w:rPr>
        <w:t>两</w:t>
      </w:r>
      <w:r>
        <w:rPr>
          <w:rFonts w:ascii="宋体" w:hAnsi="宋体" w:hint="eastAsia"/>
        </w:rPr>
        <w:t>方面：</w:t>
      </w:r>
      <w:r w:rsidRPr="00F52D63">
        <w:rPr>
          <w:rFonts w:ascii="宋体" w:hAnsi="宋体" w:hint="eastAsia"/>
        </w:rPr>
        <w:t>投资者情绪</w:t>
      </w:r>
      <w:r>
        <w:rPr>
          <w:rFonts w:ascii="宋体" w:hAnsi="宋体" w:hint="eastAsia"/>
        </w:rPr>
        <w:t>的测量</w:t>
      </w:r>
      <w:r w:rsidRPr="00F52D63">
        <w:rPr>
          <w:rFonts w:ascii="宋体" w:hAnsi="宋体" w:hint="eastAsia"/>
        </w:rPr>
        <w:t>、</w:t>
      </w:r>
      <w:r>
        <w:rPr>
          <w:rFonts w:ascii="宋体" w:hAnsi="宋体" w:hint="eastAsia"/>
        </w:rPr>
        <w:t>以及</w:t>
      </w:r>
      <w:r w:rsidRPr="00F52D63">
        <w:rPr>
          <w:rFonts w:ascii="宋体" w:hAnsi="宋体" w:hint="eastAsia"/>
        </w:rPr>
        <w:t>投资者情绪</w:t>
      </w:r>
      <w:r>
        <w:rPr>
          <w:rFonts w:ascii="宋体" w:hAnsi="宋体" w:hint="eastAsia"/>
        </w:rPr>
        <w:t>是否能够影响和预测</w:t>
      </w:r>
      <w:r w:rsidRPr="00F52D63">
        <w:rPr>
          <w:rFonts w:ascii="宋体" w:hAnsi="宋体" w:hint="eastAsia"/>
        </w:rPr>
        <w:t>股票收益。</w:t>
      </w:r>
    </w:p>
    <w:p w:rsidR="00504DD1" w:rsidRPr="00AE483C" w:rsidRDefault="00AE483C" w:rsidP="00AE483C">
      <w:pPr>
        <w:pStyle w:val="2"/>
      </w:pPr>
      <w:r w:rsidRPr="00AE483C">
        <w:rPr>
          <w:rFonts w:hint="eastAsia"/>
        </w:rPr>
        <w:t>2.1</w:t>
      </w:r>
      <w:r w:rsidR="00504DD1" w:rsidRPr="00AE483C">
        <w:rPr>
          <w:rFonts w:hint="eastAsia"/>
        </w:rPr>
        <w:t>投资者情绪的测量</w:t>
      </w:r>
    </w:p>
    <w:p w:rsidR="00504DD1" w:rsidRDefault="00504DD1" w:rsidP="00504DD1">
      <w:pPr>
        <w:autoSpaceDE w:val="0"/>
        <w:autoSpaceDN w:val="0"/>
        <w:adjustRightInd w:val="0"/>
        <w:spacing w:line="360" w:lineRule="auto"/>
        <w:ind w:firstLineChars="200" w:firstLine="420"/>
        <w:jc w:val="left"/>
        <w:rPr>
          <w:rFonts w:ascii="宋体" w:hAnsi="宋体"/>
        </w:rPr>
      </w:pPr>
      <w:r>
        <w:rPr>
          <w:rFonts w:ascii="宋体" w:hAnsi="宋体" w:hint="eastAsia"/>
        </w:rPr>
        <w:t>投资者情绪在实践中难以直接测量，大量文献对测量指标进行了广泛而深入的研究，现有测量指标可以归结为三类，直接指标、间接指标和综合指标。</w:t>
      </w:r>
      <w:bookmarkStart w:id="7" w:name="OLE_LINK7"/>
      <w:bookmarkStart w:id="8" w:name="OLE_LINK8"/>
      <w:r w:rsidRPr="009A20C6">
        <w:rPr>
          <w:rFonts w:ascii="宋体" w:hAnsi="宋体" w:hint="eastAsia"/>
        </w:rPr>
        <w:t>直接</w:t>
      </w:r>
      <w:bookmarkEnd w:id="7"/>
      <w:bookmarkEnd w:id="8"/>
      <w:r>
        <w:rPr>
          <w:rFonts w:ascii="宋体" w:hAnsi="宋体" w:hint="eastAsia"/>
        </w:rPr>
        <w:t>指标</w:t>
      </w:r>
      <w:r w:rsidRPr="009A20C6">
        <w:rPr>
          <w:rFonts w:ascii="宋体" w:hAnsi="宋体" w:hint="eastAsia"/>
        </w:rPr>
        <w:t>是通过问卷调查</w:t>
      </w:r>
      <w:r>
        <w:rPr>
          <w:rFonts w:ascii="宋体" w:hAnsi="宋体" w:hint="eastAsia"/>
        </w:rPr>
        <w:t>法得到</w:t>
      </w:r>
      <w:r w:rsidRPr="009A20C6">
        <w:rPr>
          <w:rFonts w:ascii="宋体" w:hAnsi="宋体" w:hint="eastAsia"/>
        </w:rPr>
        <w:t>投资者对市场未来走势的乐观或悲观态度，</w:t>
      </w:r>
      <w:r>
        <w:rPr>
          <w:rFonts w:ascii="宋体" w:hAnsi="宋体" w:hint="eastAsia"/>
        </w:rPr>
        <w:t>然后</w:t>
      </w:r>
      <w:r w:rsidRPr="009A20C6">
        <w:rPr>
          <w:rFonts w:ascii="宋体" w:hAnsi="宋体" w:hint="eastAsia"/>
        </w:rPr>
        <w:t>使用乐观和悲观投资者的比例计算出市场情绪指标</w:t>
      </w:r>
      <w:r>
        <w:rPr>
          <w:rFonts w:ascii="宋体" w:hAnsi="宋体" w:hint="eastAsia"/>
        </w:rPr>
        <w:t>，如</w:t>
      </w:r>
      <w:r w:rsidRPr="007B6471">
        <w:rPr>
          <w:rFonts w:ascii="宋体" w:hAnsi="宋体"/>
        </w:rPr>
        <w:t>美国个人投资者协会指数</w:t>
      </w:r>
      <w:r w:rsidRPr="007B6471">
        <w:rPr>
          <w:rFonts w:ascii="宋体" w:hAnsi="宋体" w:hint="eastAsia"/>
        </w:rPr>
        <w:t>、投资者智慧指数、</w:t>
      </w:r>
      <w:r w:rsidRPr="001C4E0F">
        <w:rPr>
          <w:rFonts w:ascii="宋体" w:hAnsi="宋体" w:hint="eastAsia"/>
        </w:rPr>
        <w:t>密歇根消费者情绪指数</w:t>
      </w:r>
      <w:r>
        <w:rPr>
          <w:rFonts w:ascii="宋体" w:hAnsi="宋体" w:hint="eastAsia"/>
        </w:rPr>
        <w:t>、</w:t>
      </w:r>
      <w:r w:rsidRPr="001C4E0F">
        <w:rPr>
          <w:rFonts w:ascii="宋体" w:hAnsi="宋体" w:hint="eastAsia"/>
        </w:rPr>
        <w:t>华鼎多空民意调查数据、央视看盘数据、新浪多空指数</w:t>
      </w:r>
      <w:r>
        <w:rPr>
          <w:rFonts w:ascii="宋体" w:hAnsi="宋体" w:hint="eastAsia"/>
        </w:rPr>
        <w:t>；间接指标是利用经济变量和市场变量作为投资者情绪的替代变量，如</w:t>
      </w:r>
      <w:r w:rsidRPr="0028175F">
        <w:rPr>
          <w:rFonts w:ascii="宋体" w:hAnsi="宋体" w:hint="eastAsia"/>
        </w:rPr>
        <w:t>封闭式基金折价</w:t>
      </w:r>
      <w:r w:rsidRPr="0039675C">
        <w:rPr>
          <w:rFonts w:ascii="宋体" w:hAnsi="宋体" w:hint="eastAsia"/>
        </w:rPr>
        <w:t>率、共同基金净赎回、IPO发行量</w:t>
      </w:r>
      <w:r>
        <w:rPr>
          <w:rFonts w:ascii="宋体" w:hAnsi="宋体" w:hint="eastAsia"/>
        </w:rPr>
        <w:t>、</w:t>
      </w:r>
      <w:r w:rsidRPr="0028175F">
        <w:rPr>
          <w:rFonts w:ascii="宋体" w:hAnsi="宋体" w:hint="eastAsia"/>
        </w:rPr>
        <w:t>IPO</w:t>
      </w:r>
      <w:r w:rsidRPr="0039675C">
        <w:rPr>
          <w:rFonts w:ascii="宋体" w:hAnsi="宋体" w:hint="eastAsia"/>
        </w:rPr>
        <w:t>首日收益率、市场换手率、红利溢价率、股权发行比率、零股买卖比率、市场波动率指数、认沽认购比率</w:t>
      </w:r>
      <w:r w:rsidRPr="0028175F">
        <w:rPr>
          <w:rFonts w:ascii="宋体" w:hAnsi="宋体" w:hint="eastAsia"/>
        </w:rPr>
        <w:t>、</w:t>
      </w:r>
      <w:r w:rsidRPr="008401DC">
        <w:rPr>
          <w:rFonts w:ascii="宋体" w:hAnsi="宋体" w:hint="eastAsia"/>
        </w:rPr>
        <w:t>新增投资者开户数</w:t>
      </w:r>
      <w:r>
        <w:rPr>
          <w:rFonts w:ascii="宋体" w:hAnsi="宋体" w:hint="eastAsia"/>
        </w:rPr>
        <w:t>、消费者信心指数等。</w:t>
      </w:r>
      <w:r w:rsidRPr="003264E0">
        <w:rPr>
          <w:rFonts w:ascii="宋体" w:hAnsi="宋体"/>
          <w:color w:val="000000"/>
        </w:rPr>
        <w:t xml:space="preserve">Beer and </w:t>
      </w:r>
      <w:proofErr w:type="spellStart"/>
      <w:r w:rsidRPr="003264E0">
        <w:rPr>
          <w:rFonts w:ascii="宋体" w:hAnsi="宋体"/>
          <w:color w:val="000000"/>
        </w:rPr>
        <w:t>Zouaoui</w:t>
      </w:r>
      <w:proofErr w:type="spellEnd"/>
      <w:r w:rsidRPr="003264E0">
        <w:rPr>
          <w:rFonts w:ascii="宋体" w:hAnsi="宋体" w:hint="eastAsia"/>
          <w:color w:val="000000"/>
        </w:rPr>
        <w:t>（2013）</w:t>
      </w:r>
      <w:r w:rsidR="008C4F88">
        <w:rPr>
          <w:rFonts w:ascii="宋体" w:hAnsi="宋体" w:hint="eastAsia"/>
          <w:color w:val="000000"/>
          <w:vertAlign w:val="superscript"/>
        </w:rPr>
        <w:t>[3]</w:t>
      </w:r>
      <w:r w:rsidRPr="003264E0">
        <w:rPr>
          <w:rFonts w:ascii="宋体" w:hAnsi="宋体" w:hint="eastAsia"/>
          <w:color w:val="000000"/>
        </w:rPr>
        <w:t>比</w:t>
      </w:r>
      <w:r>
        <w:rPr>
          <w:rFonts w:ascii="宋体" w:hAnsi="宋体" w:hint="eastAsia"/>
        </w:rPr>
        <w:t>较了直接指标和间接指标的优劣，认为</w:t>
      </w:r>
      <w:r w:rsidRPr="009A20C6">
        <w:rPr>
          <w:rFonts w:ascii="宋体" w:hAnsi="宋体" w:hint="eastAsia"/>
        </w:rPr>
        <w:t>直接</w:t>
      </w:r>
      <w:r>
        <w:rPr>
          <w:rFonts w:ascii="宋体" w:hAnsi="宋体" w:hint="eastAsia"/>
        </w:rPr>
        <w:t>指标的优点是通过问卷可以直接得到投资者心理状态的信息，标准化的问题使测量更精确，缺点是直接指标的可得性限制了它只能用于某个市场或某个时期。而间接指标的优点是指标构造以市场数据为基础，可以得到实时的数据，不仅可以反映市场参与者的力量，而且可以反映市场的强度。但间接指标的缺点是，这些变量内生于市场活动和经济活动，是经济预期和情绪的混合物，所以不是唯一（排它性）地测量投资者情绪，从这些指标中如何分离出情绪，常常是很困难的。基于直接指标和间接指标的缺陷，不少学者开始研究构造综合指标，如</w:t>
      </w:r>
      <w:r w:rsidRPr="00DF1550">
        <w:rPr>
          <w:rFonts w:ascii="宋体" w:hAnsi="宋体"/>
        </w:rPr>
        <w:t xml:space="preserve">Beer </w:t>
      </w:r>
      <w:proofErr w:type="spellStart"/>
      <w:r w:rsidRPr="00100096">
        <w:rPr>
          <w:rFonts w:ascii="宋体" w:hAnsi="宋体"/>
        </w:rPr>
        <w:t>and</w:t>
      </w:r>
      <w:r w:rsidRPr="00DF1550">
        <w:rPr>
          <w:rFonts w:ascii="宋体" w:hAnsi="宋体"/>
        </w:rPr>
        <w:t>Zouaoui</w:t>
      </w:r>
      <w:proofErr w:type="spellEnd"/>
      <w:r>
        <w:rPr>
          <w:rFonts w:ascii="宋体" w:hAnsi="宋体" w:hint="eastAsia"/>
        </w:rPr>
        <w:t>（</w:t>
      </w:r>
      <w:r w:rsidRPr="00DF1550">
        <w:rPr>
          <w:rFonts w:ascii="宋体" w:hAnsi="宋体" w:hint="eastAsia"/>
        </w:rPr>
        <w:t>2013</w:t>
      </w:r>
      <w:r>
        <w:rPr>
          <w:rFonts w:ascii="宋体" w:hAnsi="宋体" w:hint="eastAsia"/>
        </w:rPr>
        <w:t>）</w:t>
      </w:r>
      <w:r w:rsidR="008C4F88">
        <w:rPr>
          <w:rFonts w:ascii="宋体" w:hAnsi="宋体" w:hint="eastAsia"/>
          <w:color w:val="000000"/>
          <w:vertAlign w:val="superscript"/>
        </w:rPr>
        <w:t>[3]</w:t>
      </w:r>
      <w:r w:rsidR="00315C74">
        <w:rPr>
          <w:rFonts w:ascii="宋体" w:hAnsi="宋体" w:hint="eastAsia"/>
        </w:rPr>
        <w:t>、</w:t>
      </w:r>
      <w:r w:rsidRPr="008401DC">
        <w:rPr>
          <w:rFonts w:ascii="宋体" w:hAnsi="宋体" w:hint="eastAsia"/>
        </w:rPr>
        <w:t>蒋玉梅</w:t>
      </w:r>
      <w:r>
        <w:rPr>
          <w:rFonts w:ascii="宋体" w:hAnsi="宋体" w:hint="eastAsia"/>
        </w:rPr>
        <w:t>和</w:t>
      </w:r>
      <w:r w:rsidRPr="008401DC">
        <w:rPr>
          <w:rFonts w:ascii="宋体" w:hAnsi="宋体" w:hint="eastAsia"/>
        </w:rPr>
        <w:t>王明照</w:t>
      </w:r>
      <w:r>
        <w:rPr>
          <w:rFonts w:ascii="宋体" w:hAnsi="宋体" w:hint="eastAsia"/>
        </w:rPr>
        <w:t>（2010）</w:t>
      </w:r>
      <w:r w:rsidR="009F7EF1">
        <w:rPr>
          <w:rFonts w:ascii="宋体" w:hAnsi="宋体" w:hint="eastAsia"/>
          <w:vertAlign w:val="superscript"/>
        </w:rPr>
        <w:t>[4]</w:t>
      </w:r>
      <w:r>
        <w:rPr>
          <w:rFonts w:ascii="宋体" w:hAnsi="宋体" w:hint="eastAsia"/>
        </w:rPr>
        <w:t>、</w:t>
      </w:r>
      <w:r w:rsidRPr="00315C74">
        <w:rPr>
          <w:rFonts w:ascii="宋体" w:hAnsi="宋体"/>
        </w:rPr>
        <w:t>张婷</w:t>
      </w:r>
      <w:r>
        <w:rPr>
          <w:rFonts w:ascii="宋体" w:hAnsi="宋体" w:hint="eastAsia"/>
        </w:rPr>
        <w:t>等（2013）</w:t>
      </w:r>
      <w:r w:rsidR="009F7EF1">
        <w:rPr>
          <w:rFonts w:ascii="宋体" w:hAnsi="宋体" w:hint="eastAsia"/>
          <w:vertAlign w:val="superscript"/>
        </w:rPr>
        <w:t>[5]</w:t>
      </w:r>
      <w:r>
        <w:rPr>
          <w:rFonts w:ascii="宋体" w:hAnsi="宋体" w:hint="eastAsia"/>
        </w:rPr>
        <w:t>、</w:t>
      </w:r>
      <w:r w:rsidRPr="00B83DBE">
        <w:rPr>
          <w:rFonts w:ascii="宋体" w:hAnsi="宋体" w:hint="eastAsia"/>
        </w:rPr>
        <w:t>张宗新</w:t>
      </w:r>
      <w:r>
        <w:rPr>
          <w:rFonts w:ascii="宋体" w:hAnsi="宋体" w:hint="eastAsia"/>
        </w:rPr>
        <w:t>和</w:t>
      </w:r>
      <w:r w:rsidRPr="00B83DBE">
        <w:rPr>
          <w:rFonts w:ascii="宋体" w:hAnsi="宋体" w:hint="eastAsia"/>
        </w:rPr>
        <w:t>王海亮</w:t>
      </w:r>
      <w:r>
        <w:rPr>
          <w:rFonts w:ascii="宋体" w:hAnsi="宋体" w:hint="eastAsia"/>
        </w:rPr>
        <w:t>（2013）</w:t>
      </w:r>
      <w:r w:rsidR="009F7EF1">
        <w:rPr>
          <w:rFonts w:ascii="宋体" w:hAnsi="宋体" w:hint="eastAsia"/>
          <w:vertAlign w:val="superscript"/>
        </w:rPr>
        <w:t>[6]</w:t>
      </w:r>
      <w:r>
        <w:rPr>
          <w:rFonts w:ascii="宋体" w:hAnsi="宋体" w:hint="eastAsia"/>
        </w:rPr>
        <w:t>、</w:t>
      </w:r>
      <w:r w:rsidRPr="00DF1550">
        <w:rPr>
          <w:rFonts w:ascii="宋体" w:hAnsi="宋体" w:hint="eastAsia"/>
        </w:rPr>
        <w:t>文凤华</w:t>
      </w:r>
      <w:r>
        <w:rPr>
          <w:rFonts w:ascii="宋体" w:hAnsi="宋体" w:hint="eastAsia"/>
        </w:rPr>
        <w:t>等（2014）</w:t>
      </w:r>
      <w:r w:rsidR="009F7EF1">
        <w:rPr>
          <w:rFonts w:ascii="宋体" w:hAnsi="宋体" w:hint="eastAsia"/>
          <w:vertAlign w:val="superscript"/>
        </w:rPr>
        <w:t>[7]</w:t>
      </w:r>
      <w:r>
        <w:rPr>
          <w:rFonts w:ascii="宋体" w:hAnsi="宋体" w:hint="eastAsia"/>
        </w:rPr>
        <w:t>等，他们分别通过选取部分直接指标和间接指标构造投资者情绪综合指标。</w:t>
      </w:r>
    </w:p>
    <w:p w:rsidR="00504DD1" w:rsidRDefault="00504DD1" w:rsidP="00504DD1">
      <w:pPr>
        <w:autoSpaceDE w:val="0"/>
        <w:autoSpaceDN w:val="0"/>
        <w:adjustRightInd w:val="0"/>
        <w:spacing w:line="360" w:lineRule="auto"/>
        <w:ind w:firstLineChars="200" w:firstLine="420"/>
        <w:jc w:val="left"/>
        <w:rPr>
          <w:rFonts w:ascii="宋体" w:hAnsi="宋体"/>
        </w:rPr>
      </w:pPr>
      <w:r>
        <w:rPr>
          <w:rFonts w:ascii="宋体" w:hAnsi="宋体" w:hint="eastAsia"/>
        </w:rPr>
        <w:t>近几年还出现了一些新的测量指标，如</w:t>
      </w:r>
      <w:r w:rsidRPr="00503496">
        <w:rPr>
          <w:rFonts w:ascii="宋体" w:hAnsi="宋体"/>
        </w:rPr>
        <w:t>花贵如</w:t>
      </w:r>
      <w:r w:rsidRPr="00503496">
        <w:rPr>
          <w:rFonts w:ascii="宋体" w:hAnsi="宋体" w:hint="eastAsia"/>
        </w:rPr>
        <w:t>等（2011）</w:t>
      </w:r>
      <w:r w:rsidR="00985F8B">
        <w:rPr>
          <w:rFonts w:ascii="宋体" w:hAnsi="宋体" w:hint="eastAsia"/>
          <w:vertAlign w:val="superscript"/>
        </w:rPr>
        <w:t>[8]</w:t>
      </w:r>
      <w:r>
        <w:rPr>
          <w:rFonts w:ascii="宋体" w:hAnsi="宋体" w:hint="eastAsia"/>
        </w:rPr>
        <w:t>在</w:t>
      </w:r>
      <w:r w:rsidRPr="00503496">
        <w:rPr>
          <w:rFonts w:ascii="宋体" w:hAnsi="宋体" w:hint="eastAsia"/>
        </w:rPr>
        <w:t>检验投资者情绪对公司投资行为的影响</w:t>
      </w:r>
      <w:r>
        <w:rPr>
          <w:rFonts w:ascii="宋体" w:hAnsi="宋体" w:hint="eastAsia"/>
        </w:rPr>
        <w:t>时使用</w:t>
      </w:r>
      <w:r w:rsidRPr="00503496">
        <w:rPr>
          <w:rFonts w:ascii="宋体" w:hAnsi="宋体" w:hint="eastAsia"/>
        </w:rPr>
        <w:t>动量指标测量投资者情绪。</w:t>
      </w:r>
      <w:r w:rsidRPr="00404F53">
        <w:rPr>
          <w:rFonts w:ascii="宋体" w:hAnsi="宋体"/>
        </w:rPr>
        <w:t>Da</w:t>
      </w:r>
      <w:r w:rsidR="00B56D7F" w:rsidRPr="00503496">
        <w:rPr>
          <w:rFonts w:ascii="宋体" w:hAnsi="宋体" w:hint="eastAsia"/>
        </w:rPr>
        <w:t>等</w:t>
      </w:r>
      <w:r w:rsidRPr="00404F53">
        <w:rPr>
          <w:rFonts w:ascii="宋体" w:hAnsi="宋体"/>
        </w:rPr>
        <w:t>(2015)</w:t>
      </w:r>
      <w:r>
        <w:rPr>
          <w:rFonts w:ascii="宋体" w:hAnsi="宋体" w:hint="eastAsia"/>
        </w:rPr>
        <w:t>使用网络搜索数据构造了投资者情绪指标</w:t>
      </w:r>
      <w:r w:rsidRPr="00404F53">
        <w:rPr>
          <w:rFonts w:ascii="宋体" w:hAnsi="宋体"/>
        </w:rPr>
        <w:t>FEARS</w:t>
      </w:r>
      <w:r w:rsidR="0064504F">
        <w:rPr>
          <w:rFonts w:ascii="宋体" w:hAnsi="宋体" w:hint="eastAsia"/>
        </w:rPr>
        <w:t>，</w:t>
      </w:r>
      <w:r w:rsidRPr="00404F53">
        <w:rPr>
          <w:rFonts w:ascii="宋体" w:hAnsi="宋体"/>
        </w:rPr>
        <w:t>Huang</w:t>
      </w:r>
      <w:r>
        <w:rPr>
          <w:rFonts w:ascii="宋体" w:hAnsi="宋体" w:hint="eastAsia"/>
        </w:rPr>
        <w:t>等</w:t>
      </w:r>
      <w:r w:rsidRPr="00404F53">
        <w:rPr>
          <w:rFonts w:ascii="宋体" w:hAnsi="宋体"/>
        </w:rPr>
        <w:t>(2015)</w:t>
      </w:r>
      <w:r w:rsidR="00985F8B">
        <w:rPr>
          <w:rFonts w:ascii="宋体" w:hAnsi="宋体" w:hint="eastAsia"/>
          <w:vertAlign w:val="superscript"/>
        </w:rPr>
        <w:t>[9]</w:t>
      </w:r>
      <w:r>
        <w:rPr>
          <w:rFonts w:ascii="宋体" w:hAnsi="宋体" w:hint="eastAsia"/>
        </w:rPr>
        <w:t>通过剔除情绪指标中的噪音成分，构造了新的投资者情绪指标。</w:t>
      </w:r>
    </w:p>
    <w:p w:rsidR="00504DD1" w:rsidRDefault="00504DD1" w:rsidP="009E3BEA">
      <w:pPr>
        <w:autoSpaceDE w:val="0"/>
        <w:autoSpaceDN w:val="0"/>
        <w:adjustRightInd w:val="0"/>
        <w:spacing w:line="360" w:lineRule="auto"/>
        <w:ind w:firstLineChars="200" w:firstLine="420"/>
        <w:jc w:val="left"/>
        <w:rPr>
          <w:rFonts w:ascii="宋体" w:hAnsi="宋体"/>
        </w:rPr>
      </w:pPr>
      <w:r>
        <w:rPr>
          <w:rFonts w:ascii="宋体" w:hAnsi="宋体" w:hint="eastAsia"/>
        </w:rPr>
        <w:t>但是，到现在为止，哪个指标最适合测量投资者情绪，如何评估测量指标的有效性仍然没有达成一致。而精确测量投资者情绪是投资者情绪研究的前提，</w:t>
      </w:r>
      <w:r w:rsidR="003F6761">
        <w:rPr>
          <w:rFonts w:ascii="宋体" w:hAnsi="宋体" w:hint="eastAsia"/>
        </w:rPr>
        <w:t>本文的</w:t>
      </w:r>
      <w:r w:rsidR="003F6761" w:rsidRPr="0084204E">
        <w:rPr>
          <w:rFonts w:ascii="宋体" w:hAnsi="宋体" w:hint="eastAsia"/>
        </w:rPr>
        <w:t>散户舆情指数</w:t>
      </w:r>
      <w:r w:rsidR="003F6761">
        <w:rPr>
          <w:rFonts w:ascii="宋体" w:hAnsi="宋体" w:hint="eastAsia"/>
        </w:rPr>
        <w:t>是基</w:t>
      </w:r>
      <w:r w:rsidR="003F6761">
        <w:rPr>
          <w:rFonts w:ascii="宋体" w:hAnsi="宋体" w:hint="eastAsia"/>
        </w:rPr>
        <w:lastRenderedPageBreak/>
        <w:t>于论坛散户评论信息获得的，属于直接测量指标。</w:t>
      </w:r>
    </w:p>
    <w:p w:rsidR="00504DD1" w:rsidRPr="00906251" w:rsidRDefault="00AE483C" w:rsidP="00AE483C">
      <w:pPr>
        <w:pStyle w:val="2"/>
      </w:pPr>
      <w:r>
        <w:rPr>
          <w:rFonts w:hint="eastAsia"/>
        </w:rPr>
        <w:t>2.2</w:t>
      </w:r>
      <w:r w:rsidR="00504DD1" w:rsidRPr="00906251">
        <w:rPr>
          <w:rFonts w:hint="eastAsia"/>
        </w:rPr>
        <w:t>投资者情绪与股票收益的研究</w:t>
      </w:r>
    </w:p>
    <w:p w:rsidR="00504DD1" w:rsidRPr="00F146E7" w:rsidRDefault="00504DD1" w:rsidP="00504DD1">
      <w:pPr>
        <w:autoSpaceDE w:val="0"/>
        <w:autoSpaceDN w:val="0"/>
        <w:adjustRightInd w:val="0"/>
        <w:spacing w:line="360" w:lineRule="auto"/>
        <w:ind w:firstLineChars="200" w:firstLine="420"/>
        <w:jc w:val="left"/>
        <w:rPr>
          <w:rFonts w:ascii="宋体" w:hAnsi="宋体"/>
        </w:rPr>
      </w:pPr>
      <w:r w:rsidRPr="005B2C6C">
        <w:rPr>
          <w:rFonts w:ascii="宋体" w:hAnsi="宋体" w:hint="eastAsia"/>
        </w:rPr>
        <w:t>很多实证研究表明，投资者情绪对股票收益存在系统</w:t>
      </w:r>
      <w:proofErr w:type="gramStart"/>
      <w:r>
        <w:rPr>
          <w:rFonts w:ascii="宋体" w:hAnsi="宋体" w:hint="eastAsia"/>
        </w:rPr>
        <w:t>地</w:t>
      </w:r>
      <w:r w:rsidRPr="005B2C6C">
        <w:rPr>
          <w:rFonts w:ascii="宋体" w:hAnsi="宋体" w:hint="eastAsia"/>
        </w:rPr>
        <w:t>显著</w:t>
      </w:r>
      <w:proofErr w:type="gramEnd"/>
      <w:r w:rsidRPr="005B2C6C">
        <w:rPr>
          <w:rFonts w:ascii="宋体" w:hAnsi="宋体" w:hint="eastAsia"/>
        </w:rPr>
        <w:t>影响</w:t>
      </w:r>
      <w:bookmarkStart w:id="9" w:name="OLE_LINK13"/>
      <w:bookmarkStart w:id="10" w:name="OLE_LINK14"/>
      <w:r w:rsidR="00315C74">
        <w:rPr>
          <w:rFonts w:ascii="宋体" w:hAnsi="宋体" w:hint="eastAsia"/>
        </w:rPr>
        <w:t>。</w:t>
      </w:r>
      <w:r w:rsidRPr="005B2C6C">
        <w:rPr>
          <w:rFonts w:ascii="宋体" w:hAnsi="宋体"/>
        </w:rPr>
        <w:t>Schmeling(</w:t>
      </w:r>
      <w:bookmarkEnd w:id="9"/>
      <w:bookmarkEnd w:id="10"/>
      <w:r w:rsidRPr="005B2C6C">
        <w:rPr>
          <w:rFonts w:ascii="宋体" w:hAnsi="宋体"/>
        </w:rPr>
        <w:t>2009)</w:t>
      </w:r>
      <w:r w:rsidR="00D97A7D">
        <w:rPr>
          <w:rFonts w:ascii="宋体" w:hAnsi="宋体" w:hint="eastAsia"/>
          <w:vertAlign w:val="superscript"/>
        </w:rPr>
        <w:t>[10]</w:t>
      </w:r>
      <w:r w:rsidRPr="005B2C6C">
        <w:rPr>
          <w:rFonts w:ascii="宋体" w:hAnsi="宋体" w:hint="eastAsia"/>
        </w:rPr>
        <w:t>研究了</w:t>
      </w:r>
      <w:r w:rsidRPr="005B2C6C">
        <w:rPr>
          <w:rFonts w:ascii="宋体" w:hAnsi="宋体"/>
        </w:rPr>
        <w:t>1</w:t>
      </w:r>
      <w:r w:rsidRPr="005B2C6C">
        <w:rPr>
          <w:rFonts w:ascii="宋体" w:hAnsi="宋体" w:hint="eastAsia"/>
        </w:rPr>
        <w:t>8个工业化国家投资者情绪和股票收益的关系，使用消费者信心指</w:t>
      </w:r>
      <w:r w:rsidRPr="00B91D34">
        <w:rPr>
          <w:rFonts w:ascii="宋体" w:hAnsi="宋体" w:hint="eastAsia"/>
        </w:rPr>
        <w:t>数测量投资者情绪</w:t>
      </w:r>
      <w:r>
        <w:rPr>
          <w:rFonts w:ascii="宋体" w:hAnsi="宋体" w:hint="eastAsia"/>
        </w:rPr>
        <w:t>，发现投资者情绪能够</w:t>
      </w:r>
      <w:r w:rsidRPr="00B91D34">
        <w:rPr>
          <w:rFonts w:ascii="宋体" w:hAnsi="宋体" w:hint="eastAsia"/>
        </w:rPr>
        <w:t>负向预测股票市场收益，对于价值股、成长股、小股票，</w:t>
      </w:r>
      <w:r>
        <w:rPr>
          <w:rFonts w:ascii="宋体" w:hAnsi="宋体" w:hint="eastAsia"/>
        </w:rPr>
        <w:t>结论都成立</w:t>
      </w:r>
      <w:r w:rsidRPr="00B91D34">
        <w:rPr>
          <w:rFonts w:ascii="宋体" w:hAnsi="宋体" w:hint="eastAsia"/>
        </w:rPr>
        <w:t>。</w:t>
      </w:r>
      <w:r w:rsidRPr="00B91D34">
        <w:rPr>
          <w:rFonts w:ascii="宋体" w:hAnsi="宋体"/>
        </w:rPr>
        <w:t>Baker</w:t>
      </w:r>
      <w:r>
        <w:rPr>
          <w:rFonts w:ascii="宋体" w:hAnsi="宋体" w:hint="eastAsia"/>
        </w:rPr>
        <w:t>等</w:t>
      </w:r>
      <w:r w:rsidRPr="00B91D34">
        <w:rPr>
          <w:rFonts w:ascii="宋体" w:hAnsi="宋体"/>
        </w:rPr>
        <w:t>(20</w:t>
      </w:r>
      <w:r>
        <w:rPr>
          <w:rFonts w:ascii="宋体" w:hAnsi="宋体"/>
        </w:rPr>
        <w:t>12</w:t>
      </w:r>
      <w:r w:rsidRPr="00B91D34">
        <w:rPr>
          <w:rFonts w:ascii="宋体" w:hAnsi="宋体"/>
        </w:rPr>
        <w:t>)</w:t>
      </w:r>
      <w:r w:rsidR="00D97A7D">
        <w:rPr>
          <w:rFonts w:ascii="宋体" w:hAnsi="宋体" w:hint="eastAsia"/>
          <w:vertAlign w:val="superscript"/>
        </w:rPr>
        <w:t>[11]</w:t>
      </w:r>
      <w:r w:rsidRPr="00B91D34">
        <w:rPr>
          <w:rFonts w:ascii="宋体" w:hAnsi="宋体" w:hint="eastAsia"/>
        </w:rPr>
        <w:t>把6个</w:t>
      </w:r>
      <w:r>
        <w:rPr>
          <w:rFonts w:ascii="宋体" w:hAnsi="宋体" w:hint="eastAsia"/>
        </w:rPr>
        <w:t>国家</w:t>
      </w:r>
      <w:r w:rsidRPr="00B91D34">
        <w:rPr>
          <w:rFonts w:ascii="宋体" w:hAnsi="宋体" w:hint="eastAsia"/>
        </w:rPr>
        <w:t>股票市场的投资者情绪指数汇总，再将其分解为一个全球指数和6个当地指数。他们发现，</w:t>
      </w:r>
      <w:r>
        <w:rPr>
          <w:rFonts w:ascii="宋体" w:hAnsi="宋体" w:hint="eastAsia"/>
        </w:rPr>
        <w:t>无论是全球指数还是</w:t>
      </w:r>
      <w:r w:rsidRPr="00B91D34">
        <w:rPr>
          <w:rFonts w:ascii="宋体" w:hAnsi="宋体" w:hint="eastAsia"/>
        </w:rPr>
        <w:t>当地</w:t>
      </w:r>
      <w:r>
        <w:rPr>
          <w:rFonts w:ascii="宋体" w:hAnsi="宋体" w:hint="eastAsia"/>
        </w:rPr>
        <w:t>指数</w:t>
      </w:r>
      <w:r w:rsidRPr="00B91D34">
        <w:rPr>
          <w:rFonts w:ascii="宋体" w:hAnsi="宋体" w:hint="eastAsia"/>
        </w:rPr>
        <w:t>，都能够显著逆向预测市场收益，特别</w:t>
      </w:r>
      <w:r>
        <w:rPr>
          <w:rFonts w:ascii="宋体" w:hAnsi="宋体" w:hint="eastAsia"/>
        </w:rPr>
        <w:t>是</w:t>
      </w:r>
      <w:r w:rsidRPr="00B91D34">
        <w:rPr>
          <w:rFonts w:ascii="宋体" w:hAnsi="宋体" w:hint="eastAsia"/>
        </w:rPr>
        <w:t>对那些估值高度主观和难以套利的股票</w:t>
      </w:r>
      <w:r>
        <w:rPr>
          <w:rFonts w:ascii="宋体" w:hAnsi="宋体" w:hint="eastAsia"/>
        </w:rPr>
        <w:t>，关系更显著</w:t>
      </w:r>
      <w:r w:rsidRPr="00B91D34">
        <w:rPr>
          <w:rFonts w:ascii="宋体" w:hAnsi="宋体" w:hint="eastAsia"/>
        </w:rPr>
        <w:t>。</w:t>
      </w:r>
      <w:r w:rsidRPr="00DE6118">
        <w:rPr>
          <w:rFonts w:ascii="宋体" w:hAnsi="宋体"/>
        </w:rPr>
        <w:t>Ding</w:t>
      </w:r>
      <w:r>
        <w:rPr>
          <w:rFonts w:ascii="宋体" w:hAnsi="宋体" w:hint="eastAsia"/>
        </w:rPr>
        <w:t>等（2014）</w:t>
      </w:r>
      <w:r w:rsidR="00B95CFE">
        <w:rPr>
          <w:rFonts w:ascii="宋体" w:hAnsi="宋体" w:hint="eastAsia"/>
          <w:vertAlign w:val="superscript"/>
        </w:rPr>
        <w:t>[12]</w:t>
      </w:r>
      <w:r>
        <w:rPr>
          <w:rFonts w:ascii="宋体" w:hAnsi="宋体" w:hint="eastAsia"/>
        </w:rPr>
        <w:t>发现投资者情绪趋势对股票收益的影响取决于投资者情绪变化的方向（乐观或悲观）、股票的个人持有特征和套利约束。</w:t>
      </w:r>
    </w:p>
    <w:p w:rsidR="00504DD1" w:rsidRPr="004F1460" w:rsidRDefault="00504DD1" w:rsidP="00504DD1">
      <w:pPr>
        <w:autoSpaceDE w:val="0"/>
        <w:autoSpaceDN w:val="0"/>
        <w:adjustRightInd w:val="0"/>
        <w:spacing w:line="360" w:lineRule="auto"/>
        <w:ind w:firstLineChars="200" w:firstLine="420"/>
        <w:rPr>
          <w:rFonts w:ascii="宋体" w:hAnsi="宋体"/>
        </w:rPr>
      </w:pPr>
      <w:r>
        <w:rPr>
          <w:rFonts w:ascii="宋体" w:hAnsi="宋体" w:hint="eastAsia"/>
        </w:rPr>
        <w:t>但是，也有一些研究得到了不同的结论，例如</w:t>
      </w:r>
      <w:r w:rsidRPr="00B9568A">
        <w:rPr>
          <w:rFonts w:ascii="宋体" w:hAnsi="宋体"/>
        </w:rPr>
        <w:t>Brown</w:t>
      </w:r>
      <w:r>
        <w:rPr>
          <w:rFonts w:ascii="宋体" w:hAnsi="宋体" w:hint="eastAsia"/>
        </w:rPr>
        <w:t>等（201</w:t>
      </w:r>
      <w:r>
        <w:rPr>
          <w:rFonts w:ascii="宋体" w:hAnsi="宋体"/>
        </w:rPr>
        <w:t>1</w:t>
      </w:r>
      <w:r>
        <w:rPr>
          <w:rFonts w:ascii="宋体" w:hAnsi="宋体" w:hint="eastAsia"/>
        </w:rPr>
        <w:t>）</w:t>
      </w:r>
      <w:r w:rsidR="00B95CFE">
        <w:rPr>
          <w:rFonts w:ascii="宋体" w:hAnsi="宋体" w:hint="eastAsia"/>
          <w:vertAlign w:val="superscript"/>
        </w:rPr>
        <w:t>[13]</w:t>
      </w:r>
      <w:r>
        <w:rPr>
          <w:rFonts w:ascii="宋体" w:hAnsi="宋体" w:hint="eastAsia"/>
        </w:rPr>
        <w:t>发现，尽管情绪的变化水平和同期的市场收益存在强相关，但情绪指数不能预测短期的市场收益。</w:t>
      </w:r>
      <w:r w:rsidRPr="00FF385A">
        <w:rPr>
          <w:rFonts w:ascii="宋体" w:hAnsi="宋体"/>
        </w:rPr>
        <w:t>Schmeling(2009)</w:t>
      </w:r>
      <w:r w:rsidR="00B95CFE">
        <w:rPr>
          <w:rFonts w:ascii="宋体" w:hAnsi="宋体" w:hint="eastAsia"/>
          <w:vertAlign w:val="superscript"/>
        </w:rPr>
        <w:t>[10]</w:t>
      </w:r>
      <w:r w:rsidRPr="00FF385A">
        <w:rPr>
          <w:rFonts w:ascii="宋体" w:hAnsi="宋体" w:hint="eastAsia"/>
        </w:rPr>
        <w:t>研究了</w:t>
      </w:r>
      <w:r>
        <w:rPr>
          <w:rFonts w:ascii="宋体" w:hAnsi="宋体"/>
        </w:rPr>
        <w:t>1</w:t>
      </w:r>
      <w:r w:rsidRPr="00FF385A">
        <w:rPr>
          <w:rFonts w:ascii="宋体" w:hAnsi="宋体" w:hint="eastAsia"/>
        </w:rPr>
        <w:t>8个工业国家投资者情绪</w:t>
      </w:r>
      <w:r>
        <w:rPr>
          <w:rFonts w:ascii="宋体" w:hAnsi="宋体" w:hint="eastAsia"/>
        </w:rPr>
        <w:t>与股票收益的关系，发现</w:t>
      </w:r>
      <w:r w:rsidRPr="00FF385A">
        <w:rPr>
          <w:rFonts w:ascii="宋体" w:hAnsi="宋体" w:hint="eastAsia"/>
        </w:rPr>
        <w:t>在不同的国家有不同的结果。</w:t>
      </w:r>
      <w:r w:rsidRPr="00B9568A">
        <w:rPr>
          <w:rFonts w:ascii="宋体" w:hAnsi="宋体"/>
        </w:rPr>
        <w:t>Brown</w:t>
      </w:r>
      <w:r>
        <w:rPr>
          <w:rFonts w:ascii="宋体" w:hAnsi="宋体" w:hint="eastAsia"/>
        </w:rPr>
        <w:t>等（201</w:t>
      </w:r>
      <w:r>
        <w:rPr>
          <w:rFonts w:ascii="宋体" w:hAnsi="宋体"/>
        </w:rPr>
        <w:t>1</w:t>
      </w:r>
      <w:r>
        <w:rPr>
          <w:rFonts w:ascii="宋体" w:hAnsi="宋体" w:hint="eastAsia"/>
        </w:rPr>
        <w:t>）</w:t>
      </w:r>
      <w:r w:rsidR="00B95CFE">
        <w:rPr>
          <w:rFonts w:ascii="宋体" w:hAnsi="宋体" w:hint="eastAsia"/>
          <w:vertAlign w:val="superscript"/>
        </w:rPr>
        <w:t>[13]</w:t>
      </w:r>
      <w:r>
        <w:rPr>
          <w:rFonts w:ascii="宋体" w:hAnsi="宋体" w:hint="eastAsia"/>
        </w:rPr>
        <w:t>比较了日本和美国</w:t>
      </w:r>
      <w:r w:rsidRPr="00FF385A">
        <w:rPr>
          <w:rFonts w:ascii="宋体" w:hAnsi="宋体" w:hint="eastAsia"/>
        </w:rPr>
        <w:t>投资者情绪</w:t>
      </w:r>
      <w:r>
        <w:rPr>
          <w:rFonts w:ascii="宋体" w:hAnsi="宋体" w:hint="eastAsia"/>
        </w:rPr>
        <w:t>与股票收益的关系，结果发现，在日本股票市场，投资者情绪与股票收益负相关，而在美国股票市场，投资者情绪与股票收益正相关。而</w:t>
      </w:r>
      <w:r w:rsidRPr="00FD288A">
        <w:rPr>
          <w:rFonts w:ascii="宋体" w:hAnsi="宋体"/>
        </w:rPr>
        <w:t>Huang</w:t>
      </w:r>
      <w:r>
        <w:rPr>
          <w:rFonts w:ascii="宋体" w:hAnsi="宋体" w:hint="eastAsia"/>
        </w:rPr>
        <w:t>等</w:t>
      </w:r>
      <w:r w:rsidRPr="00FD288A">
        <w:rPr>
          <w:rFonts w:ascii="宋体" w:hAnsi="宋体"/>
        </w:rPr>
        <w:t>(2015)</w:t>
      </w:r>
      <w:r w:rsidR="00B95CFE">
        <w:rPr>
          <w:rFonts w:ascii="宋体" w:hAnsi="宋体" w:hint="eastAsia"/>
          <w:vertAlign w:val="superscript"/>
        </w:rPr>
        <w:t>[9]</w:t>
      </w:r>
      <w:r>
        <w:rPr>
          <w:rFonts w:ascii="宋体" w:hAnsi="宋体" w:hint="eastAsia"/>
        </w:rPr>
        <w:t>发现</w:t>
      </w:r>
      <w:r w:rsidRPr="001C4E0F">
        <w:rPr>
          <w:rFonts w:ascii="宋体" w:hAnsi="宋体" w:hint="eastAsia"/>
        </w:rPr>
        <w:t>密歇根消费者情绪指数</w:t>
      </w:r>
      <w:r>
        <w:rPr>
          <w:rFonts w:ascii="宋体" w:hAnsi="宋体" w:hint="eastAsia"/>
        </w:rPr>
        <w:t>和消费者信心指数都不能显著预测月度超额收益。</w:t>
      </w:r>
      <w:r w:rsidRPr="004F1460">
        <w:rPr>
          <w:rFonts w:ascii="宋体" w:hAnsi="宋体"/>
        </w:rPr>
        <w:t>刘</w:t>
      </w:r>
      <w:r w:rsidRPr="00A45CB3">
        <w:rPr>
          <w:rFonts w:ascii="宋体" w:hAnsi="宋体"/>
        </w:rPr>
        <w:t>维奇</w:t>
      </w:r>
      <w:r w:rsidRPr="00A45CB3">
        <w:rPr>
          <w:rFonts w:ascii="宋体" w:hAnsi="宋体" w:hint="eastAsia"/>
        </w:rPr>
        <w:t>和</w:t>
      </w:r>
      <w:proofErr w:type="gramStart"/>
      <w:r w:rsidRPr="00A45CB3">
        <w:rPr>
          <w:rFonts w:ascii="宋体" w:hAnsi="宋体"/>
        </w:rPr>
        <w:t>刘新新</w:t>
      </w:r>
      <w:proofErr w:type="gramEnd"/>
      <w:r w:rsidRPr="00A45CB3">
        <w:rPr>
          <w:rFonts w:ascii="宋体" w:hAnsi="宋体" w:hint="eastAsia"/>
        </w:rPr>
        <w:t>（2014）</w:t>
      </w:r>
      <w:r w:rsidR="00B95CFE">
        <w:rPr>
          <w:rFonts w:ascii="宋体" w:hAnsi="宋体" w:hint="eastAsia"/>
          <w:vertAlign w:val="superscript"/>
        </w:rPr>
        <w:t>[14]</w:t>
      </w:r>
      <w:r>
        <w:rPr>
          <w:rFonts w:ascii="宋体" w:hAnsi="宋体" w:hint="eastAsia"/>
        </w:rPr>
        <w:t>发现，机构</w:t>
      </w:r>
      <w:r w:rsidRPr="00A45CB3">
        <w:rPr>
          <w:rFonts w:ascii="宋体" w:hAnsi="宋体"/>
        </w:rPr>
        <w:t>投资者在市场上表现得更为理性,他们的情绪能够预测后市,而个人投资者情绪不具有预测性</w:t>
      </w:r>
      <w:r>
        <w:rPr>
          <w:rFonts w:ascii="宋体" w:hAnsi="宋体" w:hint="eastAsia"/>
        </w:rPr>
        <w:t>，</w:t>
      </w:r>
      <w:r w:rsidRPr="00A45CB3">
        <w:rPr>
          <w:rFonts w:ascii="宋体" w:hAnsi="宋体"/>
        </w:rPr>
        <w:t>投资者关注度越高的股票</w:t>
      </w:r>
      <w:r>
        <w:rPr>
          <w:rFonts w:ascii="宋体" w:hAnsi="宋体" w:hint="eastAsia"/>
        </w:rPr>
        <w:t>，</w:t>
      </w:r>
      <w:r w:rsidRPr="00A45CB3">
        <w:rPr>
          <w:rFonts w:ascii="宋体" w:hAnsi="宋体"/>
        </w:rPr>
        <w:t>其收益对投资者情绪变化的敏感度越高</w:t>
      </w:r>
      <w:r>
        <w:rPr>
          <w:rFonts w:ascii="宋体" w:hAnsi="宋体" w:hint="eastAsia"/>
        </w:rPr>
        <w:t>。</w:t>
      </w:r>
      <w:r w:rsidRPr="00DF1550">
        <w:rPr>
          <w:rFonts w:ascii="宋体" w:hAnsi="宋体" w:hint="eastAsia"/>
        </w:rPr>
        <w:t>文凤华</w:t>
      </w:r>
      <w:r>
        <w:rPr>
          <w:rFonts w:ascii="宋体" w:hAnsi="宋体" w:hint="eastAsia"/>
        </w:rPr>
        <w:t>等（2014）</w:t>
      </w:r>
      <w:r w:rsidR="00813819">
        <w:rPr>
          <w:rFonts w:ascii="宋体" w:hAnsi="宋体" w:hint="eastAsia"/>
          <w:vertAlign w:val="superscript"/>
        </w:rPr>
        <w:t>[7]</w:t>
      </w:r>
      <w:r>
        <w:rPr>
          <w:rFonts w:ascii="宋体" w:hAnsi="宋体" w:hint="eastAsia"/>
        </w:rPr>
        <w:t>发现</w:t>
      </w:r>
      <w:r w:rsidRPr="00A54F0D">
        <w:rPr>
          <w:rFonts w:ascii="宋体" w:hAnsi="宋体" w:hint="eastAsia"/>
        </w:rPr>
        <w:t>将积极与消极情绪分开考虑的模型对收益有更好的拟合</w:t>
      </w:r>
      <w:r>
        <w:rPr>
          <w:rFonts w:ascii="宋体" w:hAnsi="宋体" w:hint="eastAsia"/>
        </w:rPr>
        <w:t>，</w:t>
      </w:r>
      <w:r w:rsidRPr="00A54F0D">
        <w:rPr>
          <w:rFonts w:ascii="宋体" w:hAnsi="宋体" w:hint="eastAsia"/>
        </w:rPr>
        <w:t>正面情绪和情绪的向上变动都对股票收益有显著的正向影响，而负面情绪和情绪向下变动对其影响并不明显</w:t>
      </w:r>
      <w:r>
        <w:rPr>
          <w:rFonts w:ascii="宋体" w:hAnsi="宋体" w:hint="eastAsia"/>
        </w:rPr>
        <w:t>。</w:t>
      </w:r>
    </w:p>
    <w:p w:rsidR="00313583" w:rsidRPr="00BA0AC4" w:rsidRDefault="00504DD1" w:rsidP="00313583">
      <w:pPr>
        <w:autoSpaceDE w:val="0"/>
        <w:autoSpaceDN w:val="0"/>
        <w:adjustRightInd w:val="0"/>
        <w:spacing w:line="360" w:lineRule="auto"/>
        <w:ind w:firstLineChars="200" w:firstLine="420"/>
        <w:jc w:val="left"/>
        <w:rPr>
          <w:rFonts w:ascii="宋体" w:hAnsi="宋体"/>
        </w:rPr>
      </w:pPr>
      <w:r>
        <w:rPr>
          <w:rFonts w:ascii="宋体" w:hAnsi="宋体" w:hint="eastAsia"/>
        </w:rPr>
        <w:t>以上研究表明，投资者情绪与股票收益的关系还没有一致的结论，研究结论可能与投资者情绪指标的选取、股票市场的特征、投资者结构都存在很大的关系。</w:t>
      </w:r>
    </w:p>
    <w:p w:rsidR="00846EE7" w:rsidRDefault="00AE483C" w:rsidP="00AE483C">
      <w:pPr>
        <w:pStyle w:val="1"/>
      </w:pPr>
      <w:r>
        <w:rPr>
          <w:rFonts w:hint="eastAsia"/>
        </w:rPr>
        <w:t xml:space="preserve">3 </w:t>
      </w:r>
      <w:r w:rsidR="00846EE7">
        <w:rPr>
          <w:rFonts w:hint="eastAsia"/>
        </w:rPr>
        <w:t>实证研究</w:t>
      </w:r>
    </w:p>
    <w:p w:rsidR="0099448A" w:rsidRDefault="0099448A" w:rsidP="0084204E">
      <w:pPr>
        <w:autoSpaceDE w:val="0"/>
        <w:autoSpaceDN w:val="0"/>
        <w:adjustRightInd w:val="0"/>
        <w:spacing w:line="360" w:lineRule="auto"/>
        <w:ind w:firstLineChars="200" w:firstLine="420"/>
        <w:jc w:val="left"/>
        <w:rPr>
          <w:rFonts w:ascii="宋体" w:hAnsi="宋体"/>
        </w:rPr>
      </w:pPr>
      <w:r>
        <w:rPr>
          <w:rFonts w:ascii="宋体" w:hAnsi="宋体" w:hint="eastAsia"/>
        </w:rPr>
        <w:t>基于以上文献研究，本文试图</w:t>
      </w:r>
      <w:r w:rsidRPr="0084204E">
        <w:rPr>
          <w:rFonts w:ascii="宋体" w:hAnsi="宋体" w:hint="eastAsia"/>
        </w:rPr>
        <w:t>根据</w:t>
      </w:r>
      <w:r w:rsidR="00424668">
        <w:rPr>
          <w:rFonts w:ascii="宋体" w:hAnsi="宋体" w:hint="eastAsia"/>
        </w:rPr>
        <w:t>新构造的投资者情绪指数-</w:t>
      </w:r>
      <w:r w:rsidRPr="0084204E">
        <w:rPr>
          <w:rFonts w:ascii="宋体" w:hAnsi="宋体" w:hint="eastAsia"/>
        </w:rPr>
        <w:t>散户舆情指数</w:t>
      </w:r>
      <w:r w:rsidR="00424668">
        <w:rPr>
          <w:rFonts w:ascii="宋体" w:hAnsi="宋体" w:hint="eastAsia"/>
        </w:rPr>
        <w:t>的</w:t>
      </w:r>
      <w:r w:rsidRPr="0084204E">
        <w:rPr>
          <w:rFonts w:ascii="宋体" w:hAnsi="宋体" w:hint="eastAsia"/>
        </w:rPr>
        <w:t>数据，</w:t>
      </w:r>
      <w:r w:rsidR="00424668">
        <w:rPr>
          <w:rFonts w:ascii="宋体" w:hAnsi="宋体" w:hint="eastAsia"/>
        </w:rPr>
        <w:t>分析</w:t>
      </w:r>
      <w:r w:rsidRPr="0084204E">
        <w:rPr>
          <w:rFonts w:ascii="宋体" w:hAnsi="宋体" w:hint="eastAsia"/>
        </w:rPr>
        <w:t>散户舆情指数</w:t>
      </w:r>
      <w:r>
        <w:rPr>
          <w:rFonts w:ascii="宋体" w:hAnsi="宋体" w:hint="eastAsia"/>
        </w:rPr>
        <w:t>的</w:t>
      </w:r>
      <w:r w:rsidRPr="0084204E">
        <w:rPr>
          <w:rFonts w:ascii="宋体" w:hAnsi="宋体" w:hint="eastAsia"/>
        </w:rPr>
        <w:t>有效性</w:t>
      </w:r>
      <w:r w:rsidR="00424668">
        <w:rPr>
          <w:rFonts w:ascii="宋体" w:hAnsi="宋体" w:hint="eastAsia"/>
        </w:rPr>
        <w:t>，研究</w:t>
      </w:r>
      <w:r w:rsidR="00424668" w:rsidRPr="0084204E">
        <w:rPr>
          <w:rFonts w:ascii="宋体" w:hAnsi="宋体" w:hint="eastAsia"/>
        </w:rPr>
        <w:t>散户舆情指数</w:t>
      </w:r>
      <w:r w:rsidR="00424668">
        <w:rPr>
          <w:rFonts w:asciiTheme="minorEastAsia" w:hAnsiTheme="minorEastAsia" w:hint="eastAsia"/>
          <w:noProof/>
          <w:szCs w:val="21"/>
        </w:rPr>
        <w:t>对</w:t>
      </w:r>
      <w:r w:rsidR="00424668" w:rsidRPr="00D945C5">
        <w:rPr>
          <w:rFonts w:asciiTheme="minorEastAsia" w:hAnsiTheme="minorEastAsia" w:hint="eastAsia"/>
          <w:noProof/>
          <w:szCs w:val="21"/>
        </w:rPr>
        <w:t>上证指数超额收益率</w:t>
      </w:r>
      <w:r w:rsidR="00424668">
        <w:rPr>
          <w:rFonts w:asciiTheme="minorEastAsia" w:hAnsiTheme="minorEastAsia" w:hint="eastAsia"/>
          <w:noProof/>
          <w:szCs w:val="21"/>
        </w:rPr>
        <w:t>的预测能力</w:t>
      </w:r>
      <w:r w:rsidRPr="0084204E">
        <w:rPr>
          <w:rFonts w:ascii="宋体" w:hAnsi="宋体" w:hint="eastAsia"/>
        </w:rPr>
        <w:t>。</w:t>
      </w:r>
    </w:p>
    <w:p w:rsidR="00501326" w:rsidRPr="00B70337" w:rsidRDefault="00AE483C" w:rsidP="00AE483C">
      <w:pPr>
        <w:pStyle w:val="2"/>
      </w:pPr>
      <w:r>
        <w:rPr>
          <w:rFonts w:hint="eastAsia"/>
        </w:rPr>
        <w:lastRenderedPageBreak/>
        <w:t>3.1</w:t>
      </w:r>
      <w:r w:rsidR="00501326" w:rsidRPr="00B70337">
        <w:rPr>
          <w:rFonts w:hint="eastAsia"/>
        </w:rPr>
        <w:t>样本数据</w:t>
      </w:r>
    </w:p>
    <w:p w:rsidR="004A345E" w:rsidRDefault="009F35AE" w:rsidP="004A345E">
      <w:pPr>
        <w:autoSpaceDE w:val="0"/>
        <w:autoSpaceDN w:val="0"/>
        <w:adjustRightInd w:val="0"/>
        <w:spacing w:line="360" w:lineRule="auto"/>
        <w:ind w:firstLineChars="200" w:firstLine="420"/>
        <w:jc w:val="left"/>
        <w:rPr>
          <w:rFonts w:ascii="宋体" w:hAnsi="宋体"/>
        </w:rPr>
      </w:pPr>
      <w:r>
        <w:rPr>
          <w:rFonts w:ascii="宋体" w:hAnsi="宋体" w:hint="eastAsia"/>
        </w:rPr>
        <w:t>由于</w:t>
      </w:r>
      <w:r w:rsidR="00FA4959">
        <w:rPr>
          <w:rFonts w:ascii="宋体" w:hAnsi="宋体" w:hint="eastAsia"/>
        </w:rPr>
        <w:t>上海师范大学商学院推出的</w:t>
      </w:r>
      <w:r w:rsidRPr="0084204E">
        <w:rPr>
          <w:rFonts w:ascii="宋体" w:hAnsi="宋体" w:hint="eastAsia"/>
        </w:rPr>
        <w:t>散户舆情指数</w:t>
      </w:r>
      <w:r>
        <w:rPr>
          <w:rFonts w:ascii="宋体" w:hAnsi="宋体" w:hint="eastAsia"/>
        </w:rPr>
        <w:t>是基于上证指数论坛的散户评论信息采集编制而成的，</w:t>
      </w:r>
      <w:r w:rsidR="00FA4959">
        <w:rPr>
          <w:rFonts w:ascii="宋体" w:hAnsi="宋体" w:hint="eastAsia"/>
        </w:rPr>
        <w:t>所以本文选取上证指数</w:t>
      </w:r>
      <w:r w:rsidR="004A345E">
        <w:rPr>
          <w:rFonts w:ascii="宋体" w:hAnsi="宋体" w:hint="eastAsia"/>
        </w:rPr>
        <w:t>收益率（上证指数涨跌幅率）</w:t>
      </w:r>
      <w:r w:rsidR="00401950">
        <w:rPr>
          <w:rFonts w:ascii="宋体" w:hAnsi="宋体" w:hint="eastAsia"/>
        </w:rPr>
        <w:t>、</w:t>
      </w:r>
      <w:r w:rsidR="00401950" w:rsidRPr="0084204E">
        <w:rPr>
          <w:rFonts w:ascii="宋体" w:hAnsi="宋体" w:hint="eastAsia"/>
        </w:rPr>
        <w:t>散户舆情指数</w:t>
      </w:r>
      <w:r w:rsidR="004A345E">
        <w:rPr>
          <w:rFonts w:ascii="宋体" w:hAnsi="宋体" w:hint="eastAsia"/>
        </w:rPr>
        <w:t>的</w:t>
      </w:r>
      <w:proofErr w:type="gramStart"/>
      <w:r w:rsidR="004A345E">
        <w:rPr>
          <w:rFonts w:ascii="宋体" w:hAnsi="宋体" w:hint="eastAsia"/>
        </w:rPr>
        <w:t>日数据</w:t>
      </w:r>
      <w:proofErr w:type="gramEnd"/>
      <w:r w:rsidR="00FA4959">
        <w:rPr>
          <w:rFonts w:ascii="宋体" w:hAnsi="宋体" w:hint="eastAsia"/>
        </w:rPr>
        <w:t>作为</w:t>
      </w:r>
      <w:r w:rsidR="00401950">
        <w:rPr>
          <w:rFonts w:ascii="宋体" w:hAnsi="宋体" w:hint="eastAsia"/>
        </w:rPr>
        <w:t>研究对象，</w:t>
      </w:r>
      <w:r w:rsidR="004A345E">
        <w:rPr>
          <w:rFonts w:ascii="宋体" w:hAnsi="宋体" w:hint="eastAsia"/>
        </w:rPr>
        <w:t>为了比较</w:t>
      </w:r>
      <w:r w:rsidR="004A345E" w:rsidRPr="0084204E">
        <w:rPr>
          <w:rFonts w:ascii="宋体" w:hAnsi="宋体" w:hint="eastAsia"/>
        </w:rPr>
        <w:t>散户舆情指数</w:t>
      </w:r>
      <w:r w:rsidR="004A345E">
        <w:rPr>
          <w:rFonts w:ascii="宋体" w:hAnsi="宋体" w:hint="eastAsia"/>
        </w:rPr>
        <w:t>的相对有效性，还选取了</w:t>
      </w:r>
      <w:r w:rsidR="004A345E" w:rsidRPr="0084204E">
        <w:rPr>
          <w:rFonts w:ascii="宋体" w:hAnsi="宋体" w:hint="eastAsia"/>
        </w:rPr>
        <w:t>余额</w:t>
      </w:r>
      <w:proofErr w:type="gramStart"/>
      <w:r w:rsidR="004A345E" w:rsidRPr="0084204E">
        <w:rPr>
          <w:rFonts w:ascii="宋体" w:hAnsi="宋体" w:hint="eastAsia"/>
        </w:rPr>
        <w:t>宝情绪</w:t>
      </w:r>
      <w:proofErr w:type="gramEnd"/>
      <w:r w:rsidR="004A345E" w:rsidRPr="0084204E">
        <w:rPr>
          <w:rFonts w:ascii="宋体" w:hAnsi="宋体" w:hint="eastAsia"/>
        </w:rPr>
        <w:t>指数</w:t>
      </w:r>
      <w:r w:rsidR="004A345E">
        <w:rPr>
          <w:rFonts w:ascii="宋体" w:hAnsi="宋体" w:hint="eastAsia"/>
        </w:rPr>
        <w:t>作为参照研究对象，</w:t>
      </w:r>
      <w:r w:rsidR="004A345E" w:rsidRPr="00B70337">
        <w:rPr>
          <w:rFonts w:asciiTheme="minorEastAsia" w:hAnsiTheme="minorEastAsia" w:cs="Arial" w:hint="eastAsia"/>
          <w:color w:val="000000"/>
          <w:kern w:val="0"/>
          <w:szCs w:val="21"/>
        </w:rPr>
        <w:t>样本期为20</w:t>
      </w:r>
      <w:r w:rsidR="004A345E">
        <w:rPr>
          <w:rFonts w:asciiTheme="minorEastAsia" w:hAnsiTheme="minorEastAsia" w:cs="Arial" w:hint="eastAsia"/>
          <w:color w:val="000000"/>
          <w:kern w:val="0"/>
          <w:szCs w:val="21"/>
        </w:rPr>
        <w:t>16</w:t>
      </w:r>
      <w:r w:rsidR="004A345E" w:rsidRPr="00B70337">
        <w:rPr>
          <w:rFonts w:asciiTheme="minorEastAsia" w:hAnsiTheme="minorEastAsia" w:cs="Arial" w:hint="eastAsia"/>
          <w:color w:val="000000"/>
          <w:kern w:val="0"/>
          <w:szCs w:val="21"/>
        </w:rPr>
        <w:t>年</w:t>
      </w:r>
      <w:r w:rsidR="004A345E">
        <w:rPr>
          <w:rFonts w:asciiTheme="minorEastAsia" w:hAnsiTheme="minorEastAsia" w:cs="Arial" w:hint="eastAsia"/>
          <w:color w:val="000000"/>
          <w:kern w:val="0"/>
          <w:szCs w:val="21"/>
        </w:rPr>
        <w:t>7</w:t>
      </w:r>
      <w:r w:rsidR="004A345E" w:rsidRPr="00B70337">
        <w:rPr>
          <w:rFonts w:asciiTheme="minorEastAsia" w:hAnsiTheme="minorEastAsia" w:cs="Arial" w:hint="eastAsia"/>
          <w:color w:val="000000"/>
          <w:kern w:val="0"/>
          <w:szCs w:val="21"/>
        </w:rPr>
        <w:t>月</w:t>
      </w:r>
      <w:r w:rsidR="004A345E">
        <w:rPr>
          <w:rFonts w:asciiTheme="minorEastAsia" w:hAnsiTheme="minorEastAsia" w:cs="Arial" w:hint="eastAsia"/>
          <w:color w:val="000000"/>
          <w:kern w:val="0"/>
          <w:szCs w:val="21"/>
        </w:rPr>
        <w:t>12</w:t>
      </w:r>
      <w:r w:rsidR="004A345E" w:rsidRPr="00B70337">
        <w:rPr>
          <w:rFonts w:asciiTheme="minorEastAsia" w:hAnsiTheme="minorEastAsia" w:cs="Arial" w:hint="eastAsia"/>
          <w:color w:val="000000"/>
          <w:kern w:val="0"/>
          <w:szCs w:val="21"/>
        </w:rPr>
        <w:t>日到201</w:t>
      </w:r>
      <w:r w:rsidR="004A345E">
        <w:rPr>
          <w:rFonts w:asciiTheme="minorEastAsia" w:hAnsiTheme="minorEastAsia" w:cs="Arial" w:hint="eastAsia"/>
          <w:color w:val="000000"/>
          <w:kern w:val="0"/>
          <w:szCs w:val="21"/>
        </w:rPr>
        <w:t>6</w:t>
      </w:r>
      <w:r w:rsidR="004A345E" w:rsidRPr="00B70337">
        <w:rPr>
          <w:rFonts w:asciiTheme="minorEastAsia" w:hAnsiTheme="minorEastAsia" w:cs="Arial" w:hint="eastAsia"/>
          <w:color w:val="000000"/>
          <w:kern w:val="0"/>
          <w:szCs w:val="21"/>
        </w:rPr>
        <w:t>年12月</w:t>
      </w:r>
      <w:r w:rsidR="004A345E">
        <w:rPr>
          <w:rFonts w:asciiTheme="minorEastAsia" w:hAnsiTheme="minorEastAsia" w:cs="Arial" w:hint="eastAsia"/>
          <w:color w:val="000000"/>
          <w:kern w:val="0"/>
          <w:szCs w:val="21"/>
        </w:rPr>
        <w:t>28</w:t>
      </w:r>
      <w:r w:rsidR="004A345E" w:rsidRPr="00B70337">
        <w:rPr>
          <w:rFonts w:asciiTheme="minorEastAsia" w:hAnsiTheme="minorEastAsia" w:cs="Arial" w:hint="eastAsia"/>
          <w:color w:val="000000"/>
          <w:kern w:val="0"/>
          <w:szCs w:val="21"/>
        </w:rPr>
        <w:t>日</w:t>
      </w:r>
      <w:r w:rsidR="005552E3">
        <w:rPr>
          <w:rFonts w:asciiTheme="minorEastAsia" w:hAnsiTheme="minorEastAsia" w:cs="Arial" w:hint="eastAsia"/>
          <w:color w:val="000000"/>
          <w:kern w:val="0"/>
          <w:szCs w:val="21"/>
        </w:rPr>
        <w:t>，共115个数据</w:t>
      </w:r>
      <w:r w:rsidR="004A345E">
        <w:rPr>
          <w:rFonts w:asciiTheme="minorEastAsia" w:hAnsiTheme="minorEastAsia" w:cs="Arial" w:hint="eastAsia"/>
          <w:color w:val="000000"/>
          <w:kern w:val="0"/>
          <w:szCs w:val="21"/>
        </w:rPr>
        <w:t>。</w:t>
      </w:r>
      <w:r w:rsidR="004A345E">
        <w:rPr>
          <w:rFonts w:ascii="宋体" w:hAnsi="宋体" w:hint="eastAsia"/>
        </w:rPr>
        <w:t>上证指数收益率数据来源于万德数据库，</w:t>
      </w:r>
      <w:r w:rsidR="00F06726" w:rsidRPr="00B70337">
        <w:rPr>
          <w:rFonts w:asciiTheme="minorEastAsia" w:hAnsiTheme="minorEastAsia" w:cs="Arial" w:hint="eastAsia"/>
          <w:color w:val="000000"/>
          <w:kern w:val="0"/>
          <w:szCs w:val="21"/>
        </w:rPr>
        <w:t>无风险利率的</w:t>
      </w:r>
      <w:proofErr w:type="gramStart"/>
      <w:r w:rsidR="00F06726" w:rsidRPr="00B70337">
        <w:rPr>
          <w:rFonts w:asciiTheme="minorEastAsia" w:hAnsiTheme="minorEastAsia" w:cs="Arial" w:hint="eastAsia"/>
          <w:color w:val="000000"/>
          <w:kern w:val="0"/>
          <w:szCs w:val="21"/>
        </w:rPr>
        <w:t>日数据来源于锐思</w:t>
      </w:r>
      <w:proofErr w:type="gramEnd"/>
      <w:r w:rsidR="00F06726" w:rsidRPr="00B70337">
        <w:rPr>
          <w:rFonts w:asciiTheme="minorEastAsia" w:hAnsiTheme="minorEastAsia" w:cs="Arial" w:hint="eastAsia"/>
          <w:color w:val="000000"/>
          <w:kern w:val="0"/>
          <w:szCs w:val="21"/>
        </w:rPr>
        <w:t>数据库。</w:t>
      </w:r>
      <w:r w:rsidR="004A345E" w:rsidRPr="0084204E">
        <w:rPr>
          <w:rFonts w:ascii="宋体" w:hAnsi="宋体" w:hint="eastAsia"/>
        </w:rPr>
        <w:t>散户舆情指数</w:t>
      </w:r>
      <w:r w:rsidR="004A345E">
        <w:rPr>
          <w:rFonts w:ascii="宋体" w:hAnsi="宋体" w:hint="eastAsia"/>
        </w:rPr>
        <w:t>的数据来源于上海师范大学商学院大数据研究中心，</w:t>
      </w:r>
      <w:r w:rsidR="004A345E" w:rsidRPr="0084204E">
        <w:rPr>
          <w:rFonts w:ascii="宋体" w:hAnsi="宋体" w:hint="eastAsia"/>
        </w:rPr>
        <w:t>余额</w:t>
      </w:r>
      <w:proofErr w:type="gramStart"/>
      <w:r w:rsidR="004A345E" w:rsidRPr="0084204E">
        <w:rPr>
          <w:rFonts w:ascii="宋体" w:hAnsi="宋体" w:hint="eastAsia"/>
        </w:rPr>
        <w:t>宝情绪</w:t>
      </w:r>
      <w:proofErr w:type="gramEnd"/>
      <w:r w:rsidR="004A345E" w:rsidRPr="0084204E">
        <w:rPr>
          <w:rFonts w:ascii="宋体" w:hAnsi="宋体" w:hint="eastAsia"/>
        </w:rPr>
        <w:t>指数</w:t>
      </w:r>
      <w:r w:rsidR="004A345E">
        <w:rPr>
          <w:rFonts w:ascii="宋体" w:hAnsi="宋体" w:hint="eastAsia"/>
        </w:rPr>
        <w:t>数据来源于</w:t>
      </w:r>
      <w:proofErr w:type="gramStart"/>
      <w:r w:rsidR="004A345E" w:rsidRPr="0084204E">
        <w:rPr>
          <w:rFonts w:ascii="宋体" w:hAnsi="宋体"/>
        </w:rPr>
        <w:t>天弘基金</w:t>
      </w:r>
      <w:proofErr w:type="gramEnd"/>
      <w:r w:rsidR="004A345E" w:rsidRPr="0084204E">
        <w:rPr>
          <w:rFonts w:ascii="宋体" w:hAnsi="宋体" w:hint="eastAsia"/>
        </w:rPr>
        <w:t>网站</w:t>
      </w:r>
      <w:r w:rsidR="004A345E">
        <w:rPr>
          <w:rFonts w:ascii="宋体" w:hAnsi="宋体" w:hint="eastAsia"/>
        </w:rPr>
        <w:t>提供的</w:t>
      </w:r>
      <w:r w:rsidR="004A345E" w:rsidRPr="0084204E">
        <w:rPr>
          <w:rFonts w:ascii="宋体" w:hAnsi="宋体" w:hint="eastAsia"/>
        </w:rPr>
        <w:t>公开数据</w:t>
      </w:r>
      <w:r w:rsidR="004A345E">
        <w:rPr>
          <w:rFonts w:ascii="宋体" w:hAnsi="宋体" w:hint="eastAsia"/>
        </w:rPr>
        <w:t>。</w:t>
      </w:r>
    </w:p>
    <w:p w:rsidR="00B879A3" w:rsidRDefault="00AE483C" w:rsidP="00AE483C">
      <w:pPr>
        <w:pStyle w:val="2"/>
      </w:pPr>
      <w:r>
        <w:rPr>
          <w:rFonts w:hint="eastAsia"/>
        </w:rPr>
        <w:t>3.2</w:t>
      </w:r>
      <w:r w:rsidR="009867A1">
        <w:rPr>
          <w:rFonts w:hint="eastAsia"/>
        </w:rPr>
        <w:t>实证分析</w:t>
      </w:r>
    </w:p>
    <w:p w:rsidR="00D945C5" w:rsidRPr="00BF121E" w:rsidRDefault="00AE483C" w:rsidP="00AE483C">
      <w:pPr>
        <w:pStyle w:val="3"/>
      </w:pPr>
      <w:r>
        <w:rPr>
          <w:rFonts w:hint="eastAsia"/>
        </w:rPr>
        <w:t>3.2.1</w:t>
      </w:r>
      <w:r w:rsidR="00D945C5" w:rsidRPr="00BF121E">
        <w:rPr>
          <w:rFonts w:hint="eastAsia"/>
        </w:rPr>
        <w:t>散户舆情指数能否</w:t>
      </w:r>
      <w:r w:rsidR="005552E3" w:rsidRPr="00BF121E">
        <w:rPr>
          <w:rFonts w:hint="eastAsia"/>
        </w:rPr>
        <w:t>刻画</w:t>
      </w:r>
      <w:r w:rsidR="00D945C5" w:rsidRPr="00BF121E">
        <w:rPr>
          <w:rFonts w:hint="eastAsia"/>
        </w:rPr>
        <w:t>投资者情绪</w:t>
      </w:r>
    </w:p>
    <w:p w:rsidR="005D769E" w:rsidRDefault="005D769E" w:rsidP="00BF121E">
      <w:pPr>
        <w:autoSpaceDE w:val="0"/>
        <w:autoSpaceDN w:val="0"/>
        <w:adjustRightInd w:val="0"/>
        <w:spacing w:line="360" w:lineRule="auto"/>
        <w:ind w:firstLineChars="200" w:firstLine="420"/>
        <w:jc w:val="left"/>
        <w:rPr>
          <w:rFonts w:ascii="宋体" w:hAnsi="宋体"/>
        </w:rPr>
      </w:pPr>
      <w:r>
        <w:rPr>
          <w:rFonts w:ascii="宋体" w:hAnsi="宋体" w:hint="eastAsia"/>
        </w:rPr>
        <w:t>（1）</w:t>
      </w:r>
      <w:r w:rsidRPr="005D769E">
        <w:rPr>
          <w:rFonts w:ascii="宋体" w:hAnsi="宋体" w:hint="eastAsia"/>
        </w:rPr>
        <w:t>散户舆情指数</w:t>
      </w:r>
      <w:r>
        <w:rPr>
          <w:rFonts w:ascii="宋体" w:hAnsi="宋体" w:hint="eastAsia"/>
        </w:rPr>
        <w:t>与</w:t>
      </w:r>
      <w:r w:rsidRPr="00BF121E">
        <w:rPr>
          <w:rFonts w:ascii="宋体" w:hAnsi="宋体" w:hint="eastAsia"/>
        </w:rPr>
        <w:t>上证指数收益率</w:t>
      </w:r>
      <w:r>
        <w:rPr>
          <w:rFonts w:ascii="宋体" w:hAnsi="宋体" w:hint="eastAsia"/>
        </w:rPr>
        <w:t>的相关系数</w:t>
      </w:r>
    </w:p>
    <w:p w:rsidR="00D945C5" w:rsidRDefault="00D945C5" w:rsidP="00BF121E">
      <w:pPr>
        <w:autoSpaceDE w:val="0"/>
        <w:autoSpaceDN w:val="0"/>
        <w:adjustRightInd w:val="0"/>
        <w:spacing w:line="360" w:lineRule="auto"/>
        <w:ind w:firstLineChars="200" w:firstLine="420"/>
        <w:jc w:val="left"/>
        <w:rPr>
          <w:rFonts w:ascii="宋体" w:hAnsi="宋体"/>
        </w:rPr>
      </w:pPr>
      <w:r w:rsidRPr="00BF121E">
        <w:rPr>
          <w:rFonts w:ascii="宋体" w:hAnsi="宋体" w:hint="eastAsia"/>
        </w:rPr>
        <w:t>把上证指数收益率乘以</w:t>
      </w:r>
      <w:r w:rsidR="009027C3">
        <w:rPr>
          <w:rFonts w:ascii="宋体" w:hAnsi="宋体"/>
        </w:rPr>
        <w:t>5</w:t>
      </w:r>
      <w:r w:rsidRPr="00BF121E">
        <w:rPr>
          <w:rFonts w:ascii="宋体" w:hAnsi="宋体" w:hint="eastAsia"/>
        </w:rPr>
        <w:t>00，与散户舆情指数画图，得到图1，发现两者有很强的相关性，进</w:t>
      </w:r>
      <w:bookmarkStart w:id="11" w:name="OLE_LINK5"/>
      <w:bookmarkStart w:id="12" w:name="OLE_LINK6"/>
      <w:r w:rsidRPr="00BF121E">
        <w:rPr>
          <w:rFonts w:ascii="宋体" w:hAnsi="宋体" w:hint="eastAsia"/>
        </w:rPr>
        <w:t>一步计</w:t>
      </w:r>
      <w:bookmarkEnd w:id="11"/>
      <w:bookmarkEnd w:id="12"/>
      <w:r w:rsidRPr="00BF121E">
        <w:rPr>
          <w:rFonts w:ascii="宋体" w:hAnsi="宋体" w:hint="eastAsia"/>
        </w:rPr>
        <w:t>算上证指数</w:t>
      </w:r>
      <w:bookmarkStart w:id="13" w:name="OLE_LINK1"/>
      <w:bookmarkStart w:id="14" w:name="OLE_LINK2"/>
      <w:r w:rsidRPr="00BF121E">
        <w:rPr>
          <w:rFonts w:ascii="宋体" w:hAnsi="宋体" w:hint="eastAsia"/>
        </w:rPr>
        <w:t>收益率</w:t>
      </w:r>
      <w:bookmarkEnd w:id="13"/>
      <w:bookmarkEnd w:id="14"/>
      <w:r w:rsidRPr="00BF121E">
        <w:rPr>
          <w:rFonts w:ascii="宋体" w:hAnsi="宋体" w:hint="eastAsia"/>
        </w:rPr>
        <w:t>和散户舆情指数的相关系数，发现两者的相关系数高达</w:t>
      </w:r>
      <w:r w:rsidRPr="00BF121E">
        <w:rPr>
          <w:rFonts w:ascii="宋体" w:hAnsi="宋体"/>
        </w:rPr>
        <w:t>0.81</w:t>
      </w:r>
      <w:r w:rsidRPr="00BF121E">
        <w:rPr>
          <w:rFonts w:ascii="宋体" w:hAnsi="宋体" w:hint="eastAsia"/>
        </w:rPr>
        <w:t>，在0.05的显著性水平下，两者的线性关系统计显著</w:t>
      </w:r>
      <w:r w:rsidR="005552E3" w:rsidRPr="00BF121E">
        <w:rPr>
          <w:rFonts w:ascii="宋体" w:hAnsi="宋体" w:hint="eastAsia"/>
        </w:rPr>
        <w:t>，表明</w:t>
      </w:r>
      <w:r w:rsidRPr="00BF121E">
        <w:rPr>
          <w:rFonts w:ascii="宋体" w:hAnsi="宋体" w:hint="eastAsia"/>
        </w:rPr>
        <w:t>散户舆情指数能够较好地刻画散户投资者针对上证指数收益率（涨跌幅率）所表现出来的情绪。</w:t>
      </w:r>
    </w:p>
    <w:p w:rsidR="00D945C5" w:rsidRPr="00D945C5" w:rsidRDefault="009027C3" w:rsidP="009027C3">
      <w:pPr>
        <w:spacing w:line="360" w:lineRule="auto"/>
        <w:ind w:firstLineChars="200" w:firstLine="420"/>
        <w:jc w:val="center"/>
        <w:rPr>
          <w:rFonts w:asciiTheme="minorEastAsia" w:hAnsiTheme="minorEastAsia"/>
          <w:sz w:val="24"/>
          <w:szCs w:val="24"/>
        </w:rPr>
      </w:pPr>
      <w:r>
        <w:object w:dxaOrig="7440" w:dyaOrig="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225pt" o:ole="">
            <v:imagedata r:id="rId8" o:title=""/>
          </v:shape>
          <o:OLEObject Type="Embed" ProgID="EViews.Workfile.2" ShapeID="_x0000_i1025" DrawAspect="Content" ObjectID="_1615272183" r:id="rId9"/>
        </w:object>
      </w:r>
    </w:p>
    <w:p w:rsidR="00D945C5" w:rsidRPr="007A759D" w:rsidRDefault="00D945C5" w:rsidP="007A759D">
      <w:pPr>
        <w:spacing w:line="360" w:lineRule="auto"/>
        <w:ind w:firstLineChars="200" w:firstLine="420"/>
        <w:jc w:val="center"/>
        <w:rPr>
          <w:rFonts w:asciiTheme="minorEastAsia" w:hAnsiTheme="minorEastAsia"/>
          <w:noProof/>
          <w:szCs w:val="21"/>
        </w:rPr>
      </w:pPr>
      <w:r w:rsidRPr="007A759D">
        <w:rPr>
          <w:rFonts w:asciiTheme="minorEastAsia" w:hAnsiTheme="minorEastAsia" w:hint="eastAsia"/>
          <w:noProof/>
          <w:szCs w:val="21"/>
        </w:rPr>
        <w:t>图1  散户舆情指数（</w:t>
      </w:r>
      <w:r w:rsidR="00CE64BC">
        <w:rPr>
          <w:rFonts w:asciiTheme="minorEastAsia" w:hAnsiTheme="minorEastAsia" w:hint="eastAsia"/>
          <w:noProof/>
          <w:szCs w:val="21"/>
        </w:rPr>
        <w:t>SENT</w:t>
      </w:r>
      <w:r w:rsidRPr="007A759D">
        <w:rPr>
          <w:rFonts w:asciiTheme="minorEastAsia" w:hAnsiTheme="minorEastAsia" w:hint="eastAsia"/>
          <w:noProof/>
          <w:szCs w:val="21"/>
        </w:rPr>
        <w:t>）与上证指数收益率（</w:t>
      </w:r>
      <w:r w:rsidRPr="007A759D">
        <w:rPr>
          <w:rFonts w:asciiTheme="minorEastAsia" w:hAnsiTheme="minorEastAsia"/>
          <w:noProof/>
          <w:szCs w:val="21"/>
        </w:rPr>
        <w:t>SH00000</w:t>
      </w:r>
      <w:r w:rsidRPr="007A759D">
        <w:rPr>
          <w:rFonts w:asciiTheme="minorEastAsia" w:hAnsiTheme="minorEastAsia" w:hint="eastAsia"/>
          <w:noProof/>
          <w:szCs w:val="21"/>
        </w:rPr>
        <w:t>*</w:t>
      </w:r>
      <w:r w:rsidR="009027C3">
        <w:rPr>
          <w:rFonts w:asciiTheme="minorEastAsia" w:hAnsiTheme="minorEastAsia"/>
          <w:noProof/>
          <w:szCs w:val="21"/>
        </w:rPr>
        <w:t>5</w:t>
      </w:r>
      <w:r w:rsidRPr="007A759D">
        <w:rPr>
          <w:rFonts w:asciiTheme="minorEastAsia" w:hAnsiTheme="minorEastAsia" w:hint="eastAsia"/>
          <w:noProof/>
          <w:szCs w:val="21"/>
        </w:rPr>
        <w:t>00）</w:t>
      </w:r>
    </w:p>
    <w:p w:rsidR="009867A1" w:rsidRDefault="009867A1" w:rsidP="00B879A3">
      <w:pPr>
        <w:spacing w:line="360" w:lineRule="auto"/>
        <w:ind w:firstLineChars="200" w:firstLine="480"/>
        <w:jc w:val="left"/>
        <w:rPr>
          <w:rFonts w:asciiTheme="minorEastAsia" w:hAnsiTheme="minorEastAsia"/>
          <w:sz w:val="24"/>
          <w:szCs w:val="24"/>
        </w:rPr>
      </w:pPr>
    </w:p>
    <w:p w:rsidR="005D769E" w:rsidRPr="005D769E" w:rsidRDefault="005D769E" w:rsidP="005D769E">
      <w:pPr>
        <w:autoSpaceDE w:val="0"/>
        <w:autoSpaceDN w:val="0"/>
        <w:adjustRightInd w:val="0"/>
        <w:spacing w:line="360" w:lineRule="auto"/>
        <w:ind w:firstLineChars="200" w:firstLine="420"/>
        <w:jc w:val="left"/>
        <w:rPr>
          <w:rFonts w:asciiTheme="minorEastAsia" w:hAnsiTheme="minorEastAsia"/>
          <w:noProof/>
          <w:szCs w:val="21"/>
        </w:rPr>
      </w:pPr>
      <w:r w:rsidRPr="005D769E">
        <w:rPr>
          <w:rFonts w:asciiTheme="minorEastAsia" w:hAnsiTheme="minorEastAsia" w:hint="eastAsia"/>
          <w:noProof/>
          <w:szCs w:val="21"/>
        </w:rPr>
        <w:lastRenderedPageBreak/>
        <w:t>（2）散户舆情指数和余额宝情绪指数的比较</w:t>
      </w:r>
    </w:p>
    <w:p w:rsidR="005D769E" w:rsidRPr="005D769E" w:rsidRDefault="005D769E" w:rsidP="005D769E">
      <w:pPr>
        <w:autoSpaceDE w:val="0"/>
        <w:autoSpaceDN w:val="0"/>
        <w:adjustRightInd w:val="0"/>
        <w:spacing w:line="360" w:lineRule="auto"/>
        <w:ind w:firstLineChars="200" w:firstLine="420"/>
        <w:jc w:val="left"/>
        <w:rPr>
          <w:rFonts w:asciiTheme="minorEastAsia" w:hAnsiTheme="minorEastAsia"/>
          <w:noProof/>
          <w:szCs w:val="21"/>
        </w:rPr>
      </w:pPr>
      <w:r w:rsidRPr="005D769E">
        <w:rPr>
          <w:rFonts w:asciiTheme="minorEastAsia" w:hAnsiTheme="minorEastAsia" w:hint="eastAsia"/>
          <w:noProof/>
          <w:szCs w:val="21"/>
        </w:rPr>
        <w:t>衡量散户</w:t>
      </w:r>
      <w:r w:rsidRPr="005D769E">
        <w:rPr>
          <w:rFonts w:asciiTheme="minorEastAsia" w:hAnsiTheme="minorEastAsia"/>
          <w:noProof/>
          <w:szCs w:val="21"/>
        </w:rPr>
        <w:t>投资者情绪的</w:t>
      </w:r>
      <w:r w:rsidRPr="005D769E">
        <w:rPr>
          <w:rFonts w:asciiTheme="minorEastAsia" w:hAnsiTheme="minorEastAsia" w:hint="eastAsia"/>
          <w:noProof/>
          <w:szCs w:val="21"/>
        </w:rPr>
        <w:t>指标中，</w:t>
      </w:r>
      <w:r w:rsidRPr="005D769E">
        <w:rPr>
          <w:rFonts w:asciiTheme="minorEastAsia" w:hAnsiTheme="minorEastAsia"/>
          <w:noProof/>
          <w:szCs w:val="21"/>
        </w:rPr>
        <w:t>天弘基金编制的</w:t>
      </w:r>
      <w:bookmarkStart w:id="15" w:name="OLE_LINK24"/>
      <w:bookmarkStart w:id="16" w:name="OLE_LINK25"/>
      <w:r w:rsidRPr="005D769E">
        <w:rPr>
          <w:rFonts w:asciiTheme="minorEastAsia" w:hAnsiTheme="minorEastAsia"/>
          <w:noProof/>
          <w:szCs w:val="21"/>
        </w:rPr>
        <w:t>余额宝情绪指数</w:t>
      </w:r>
      <w:bookmarkEnd w:id="15"/>
      <w:bookmarkEnd w:id="16"/>
      <w:r w:rsidRPr="005D769E">
        <w:rPr>
          <w:rFonts w:asciiTheme="minorEastAsia" w:hAnsiTheme="minorEastAsia" w:hint="eastAsia"/>
          <w:noProof/>
          <w:szCs w:val="21"/>
        </w:rPr>
        <w:t>受到广泛关注。它</w:t>
      </w:r>
      <w:r w:rsidRPr="005D769E">
        <w:rPr>
          <w:rFonts w:asciiTheme="minorEastAsia" w:hAnsiTheme="minorEastAsia"/>
          <w:noProof/>
          <w:szCs w:val="21"/>
        </w:rPr>
        <w:t>通过对余额宝资金流入股市的数据进行挖掘</w:t>
      </w:r>
      <w:r w:rsidRPr="005D769E">
        <w:rPr>
          <w:rFonts w:asciiTheme="minorEastAsia" w:hAnsiTheme="minorEastAsia" w:hint="eastAsia"/>
          <w:noProof/>
          <w:szCs w:val="21"/>
        </w:rPr>
        <w:t>来反映</w:t>
      </w:r>
      <w:r w:rsidRPr="005D769E">
        <w:rPr>
          <w:rFonts w:asciiTheme="minorEastAsia" w:hAnsiTheme="minorEastAsia"/>
          <w:noProof/>
          <w:szCs w:val="21"/>
        </w:rPr>
        <w:t>散户投资</w:t>
      </w:r>
      <w:r w:rsidRPr="005D769E">
        <w:rPr>
          <w:rFonts w:asciiTheme="minorEastAsia" w:hAnsiTheme="minorEastAsia" w:hint="eastAsia"/>
          <w:noProof/>
          <w:szCs w:val="21"/>
        </w:rPr>
        <w:t>者的</w:t>
      </w:r>
      <w:r w:rsidRPr="005D769E">
        <w:rPr>
          <w:rFonts w:asciiTheme="minorEastAsia" w:hAnsiTheme="minorEastAsia"/>
          <w:noProof/>
          <w:szCs w:val="21"/>
        </w:rPr>
        <w:t>情绪</w:t>
      </w:r>
      <w:r w:rsidRPr="005D769E">
        <w:rPr>
          <w:rFonts w:asciiTheme="minorEastAsia" w:hAnsiTheme="minorEastAsia" w:hint="eastAsia"/>
          <w:noProof/>
          <w:szCs w:val="21"/>
        </w:rPr>
        <w:t>。当余额宝情绪指数上涨时，意味着余额宝用户入市意愿增加，</w:t>
      </w:r>
      <w:r w:rsidRPr="005D769E">
        <w:rPr>
          <w:rFonts w:asciiTheme="minorEastAsia" w:hAnsiTheme="minorEastAsia"/>
          <w:noProof/>
          <w:szCs w:val="21"/>
        </w:rPr>
        <w:t>散户投资</w:t>
      </w:r>
      <w:r w:rsidRPr="005D769E">
        <w:rPr>
          <w:rFonts w:asciiTheme="minorEastAsia" w:hAnsiTheme="minorEastAsia" w:hint="eastAsia"/>
          <w:noProof/>
          <w:szCs w:val="21"/>
        </w:rPr>
        <w:t>者</w:t>
      </w:r>
      <w:r w:rsidRPr="005D769E">
        <w:rPr>
          <w:rFonts w:asciiTheme="minorEastAsia" w:hAnsiTheme="minorEastAsia"/>
          <w:noProof/>
          <w:szCs w:val="21"/>
        </w:rPr>
        <w:t>情绪</w:t>
      </w:r>
      <w:r w:rsidRPr="005D769E">
        <w:rPr>
          <w:rFonts w:asciiTheme="minorEastAsia" w:hAnsiTheme="minorEastAsia" w:hint="eastAsia"/>
          <w:noProof/>
          <w:szCs w:val="21"/>
        </w:rPr>
        <w:t>上升。</w:t>
      </w:r>
    </w:p>
    <w:p w:rsidR="005D769E" w:rsidRDefault="005D769E" w:rsidP="005D769E">
      <w:pPr>
        <w:autoSpaceDE w:val="0"/>
        <w:autoSpaceDN w:val="0"/>
        <w:adjustRightInd w:val="0"/>
        <w:spacing w:line="360" w:lineRule="auto"/>
        <w:ind w:firstLineChars="200" w:firstLine="420"/>
        <w:jc w:val="left"/>
        <w:rPr>
          <w:rFonts w:asciiTheme="minorEastAsia" w:hAnsiTheme="minorEastAsia"/>
          <w:noProof/>
          <w:szCs w:val="21"/>
        </w:rPr>
      </w:pPr>
      <w:r w:rsidRPr="005D769E">
        <w:rPr>
          <w:rFonts w:asciiTheme="minorEastAsia" w:hAnsiTheme="minorEastAsia" w:hint="eastAsia"/>
          <w:noProof/>
          <w:szCs w:val="21"/>
        </w:rPr>
        <w:t>为了评估散户舆情指数的有效性，本文在</w:t>
      </w:r>
      <w:r w:rsidRPr="005D769E">
        <w:rPr>
          <w:rFonts w:asciiTheme="minorEastAsia" w:hAnsiTheme="minorEastAsia"/>
          <w:noProof/>
          <w:szCs w:val="21"/>
        </w:rPr>
        <w:t>天弘基金</w:t>
      </w:r>
      <w:r w:rsidRPr="005D769E">
        <w:rPr>
          <w:rFonts w:asciiTheme="minorEastAsia" w:hAnsiTheme="minorEastAsia" w:hint="eastAsia"/>
          <w:noProof/>
          <w:szCs w:val="21"/>
        </w:rPr>
        <w:t>的网站获得其公开数据，将其与</w:t>
      </w:r>
      <w:r w:rsidRPr="005D769E">
        <w:rPr>
          <w:rFonts w:asciiTheme="minorEastAsia" w:hAnsiTheme="minorEastAsia"/>
          <w:noProof/>
          <w:szCs w:val="21"/>
        </w:rPr>
        <w:t>余额宝情绪指数</w:t>
      </w:r>
      <w:r w:rsidRPr="005D769E">
        <w:rPr>
          <w:rFonts w:asciiTheme="minorEastAsia" w:hAnsiTheme="minorEastAsia" w:hint="eastAsia"/>
          <w:noProof/>
          <w:szCs w:val="21"/>
        </w:rPr>
        <w:t>进行了</w:t>
      </w:r>
      <w:r w:rsidR="00CB6089">
        <w:rPr>
          <w:rFonts w:asciiTheme="minorEastAsia" w:hAnsiTheme="minorEastAsia" w:hint="eastAsia"/>
          <w:noProof/>
          <w:szCs w:val="21"/>
        </w:rPr>
        <w:t>对应分析。首先，</w:t>
      </w:r>
      <w:r w:rsidR="00CB6089" w:rsidRPr="00BF121E">
        <w:rPr>
          <w:rFonts w:ascii="宋体" w:hAnsi="宋体" w:hint="eastAsia"/>
        </w:rPr>
        <w:t>把上证指数收益率乘以</w:t>
      </w:r>
      <w:r w:rsidR="00CB6089">
        <w:rPr>
          <w:rFonts w:ascii="宋体" w:hAnsi="宋体"/>
        </w:rPr>
        <w:t>5</w:t>
      </w:r>
      <w:r w:rsidR="00CB6089" w:rsidRPr="00BF121E">
        <w:rPr>
          <w:rFonts w:ascii="宋体" w:hAnsi="宋体" w:hint="eastAsia"/>
        </w:rPr>
        <w:t>00，与</w:t>
      </w:r>
      <w:r w:rsidR="00CB6089" w:rsidRPr="00CB6089">
        <w:rPr>
          <w:rFonts w:ascii="宋体" w:hAnsi="宋体" w:hint="eastAsia"/>
        </w:rPr>
        <w:t>余额</w:t>
      </w:r>
      <w:proofErr w:type="gramStart"/>
      <w:r w:rsidR="00CB6089" w:rsidRPr="00CB6089">
        <w:rPr>
          <w:rFonts w:ascii="宋体" w:hAnsi="宋体" w:hint="eastAsia"/>
        </w:rPr>
        <w:t>宝情绪</w:t>
      </w:r>
      <w:proofErr w:type="gramEnd"/>
      <w:r w:rsidR="00CB6089" w:rsidRPr="00CB6089">
        <w:rPr>
          <w:rFonts w:ascii="宋体" w:hAnsi="宋体" w:hint="eastAsia"/>
        </w:rPr>
        <w:t>指数</w:t>
      </w:r>
      <w:r w:rsidR="00CB6089" w:rsidRPr="00BF121E">
        <w:rPr>
          <w:rFonts w:ascii="宋体" w:hAnsi="宋体" w:hint="eastAsia"/>
        </w:rPr>
        <w:t>画图，得到图</w:t>
      </w:r>
      <w:r w:rsidR="00CB6089">
        <w:rPr>
          <w:rFonts w:ascii="宋体" w:hAnsi="宋体" w:hint="eastAsia"/>
        </w:rPr>
        <w:t>2</w:t>
      </w:r>
      <w:r w:rsidR="00CB6089" w:rsidRPr="00BF121E">
        <w:rPr>
          <w:rFonts w:ascii="宋体" w:hAnsi="宋体" w:hint="eastAsia"/>
        </w:rPr>
        <w:t>，发现两者</w:t>
      </w:r>
      <w:r w:rsidR="00CB6089">
        <w:rPr>
          <w:rFonts w:ascii="宋体" w:hAnsi="宋体" w:hint="eastAsia"/>
        </w:rPr>
        <w:t>似乎呈现出负</w:t>
      </w:r>
      <w:r w:rsidR="00CB6089" w:rsidRPr="00BF121E">
        <w:rPr>
          <w:rFonts w:ascii="宋体" w:hAnsi="宋体" w:hint="eastAsia"/>
        </w:rPr>
        <w:t>相关性，</w:t>
      </w:r>
      <w:r w:rsidR="00CB6089">
        <w:rPr>
          <w:rFonts w:ascii="宋体" w:hAnsi="宋体" w:hint="eastAsia"/>
        </w:rPr>
        <w:t>进一步计算两者的相关系数，</w:t>
      </w:r>
      <w:r w:rsidRPr="005D769E">
        <w:rPr>
          <w:rFonts w:asciiTheme="minorEastAsia" w:hAnsiTheme="minorEastAsia" w:hint="eastAsia"/>
          <w:noProof/>
          <w:szCs w:val="21"/>
        </w:rPr>
        <w:t>发现，上证指数收益率和余额宝情绪指数的相关系数为</w:t>
      </w:r>
      <w:r w:rsidRPr="005D769E">
        <w:rPr>
          <w:rFonts w:asciiTheme="minorEastAsia" w:hAnsiTheme="minorEastAsia"/>
          <w:noProof/>
          <w:szCs w:val="21"/>
        </w:rPr>
        <w:t>-0.4328</w:t>
      </w:r>
      <w:r w:rsidRPr="005D769E">
        <w:rPr>
          <w:rFonts w:asciiTheme="minorEastAsia" w:hAnsiTheme="minorEastAsia" w:hint="eastAsia"/>
          <w:noProof/>
          <w:szCs w:val="21"/>
        </w:rPr>
        <w:t>，两者</w:t>
      </w:r>
      <w:r w:rsidR="00CB6089">
        <w:rPr>
          <w:rFonts w:asciiTheme="minorEastAsia" w:hAnsiTheme="minorEastAsia" w:hint="eastAsia"/>
          <w:noProof/>
          <w:szCs w:val="21"/>
        </w:rPr>
        <w:t>确实</w:t>
      </w:r>
      <w:r w:rsidRPr="005D769E">
        <w:rPr>
          <w:rFonts w:asciiTheme="minorEastAsia" w:hAnsiTheme="minorEastAsia" w:hint="eastAsia"/>
          <w:noProof/>
          <w:szCs w:val="21"/>
        </w:rPr>
        <w:t>表现为负相关。余额宝情绪指数似乎没能反映出</w:t>
      </w:r>
      <w:r w:rsidRPr="005D769E">
        <w:rPr>
          <w:rFonts w:asciiTheme="minorEastAsia" w:hAnsiTheme="minorEastAsia"/>
          <w:noProof/>
          <w:szCs w:val="21"/>
        </w:rPr>
        <w:t>散户投资</w:t>
      </w:r>
      <w:r w:rsidRPr="005D769E">
        <w:rPr>
          <w:rFonts w:asciiTheme="minorEastAsia" w:hAnsiTheme="minorEastAsia" w:hint="eastAsia"/>
          <w:noProof/>
          <w:szCs w:val="21"/>
        </w:rPr>
        <w:t>者对上证指数收益率（涨跌幅率）所表现出来的情绪。</w:t>
      </w:r>
    </w:p>
    <w:p w:rsidR="00CE64BC" w:rsidRPr="005D769E" w:rsidRDefault="00CE64BC" w:rsidP="005D769E">
      <w:pPr>
        <w:autoSpaceDE w:val="0"/>
        <w:autoSpaceDN w:val="0"/>
        <w:adjustRightInd w:val="0"/>
        <w:spacing w:line="360" w:lineRule="auto"/>
        <w:ind w:firstLineChars="200" w:firstLine="420"/>
        <w:jc w:val="left"/>
        <w:rPr>
          <w:rFonts w:asciiTheme="minorEastAsia" w:hAnsiTheme="minorEastAsia"/>
          <w:noProof/>
          <w:szCs w:val="21"/>
        </w:rPr>
      </w:pPr>
      <w:r>
        <w:object w:dxaOrig="7440" w:dyaOrig="4500">
          <v:shape id="_x0000_i1026" type="#_x0000_t75" style="width:372pt;height:225pt" o:ole="">
            <v:imagedata r:id="rId10" o:title=""/>
          </v:shape>
          <o:OLEObject Type="Embed" ProgID="EViews.Workfile.2" ShapeID="_x0000_i1026" DrawAspect="Content" ObjectID="_1615272184" r:id="rId11"/>
        </w:object>
      </w:r>
    </w:p>
    <w:p w:rsidR="005D769E" w:rsidRPr="005D769E" w:rsidRDefault="00CE64BC" w:rsidP="00CE64BC">
      <w:pPr>
        <w:spacing w:line="360" w:lineRule="auto"/>
        <w:ind w:firstLineChars="200" w:firstLine="420"/>
        <w:jc w:val="center"/>
        <w:rPr>
          <w:rFonts w:asciiTheme="minorEastAsia" w:hAnsiTheme="minorEastAsia"/>
          <w:sz w:val="24"/>
          <w:szCs w:val="24"/>
        </w:rPr>
      </w:pPr>
      <w:r w:rsidRPr="007A759D">
        <w:rPr>
          <w:rFonts w:asciiTheme="minorEastAsia" w:hAnsiTheme="minorEastAsia" w:hint="eastAsia"/>
          <w:noProof/>
          <w:szCs w:val="21"/>
        </w:rPr>
        <w:t>图</w:t>
      </w:r>
      <w:r>
        <w:rPr>
          <w:rFonts w:asciiTheme="minorEastAsia" w:hAnsiTheme="minorEastAsia"/>
          <w:noProof/>
          <w:szCs w:val="21"/>
        </w:rPr>
        <w:t>2</w:t>
      </w:r>
      <w:r w:rsidRPr="005D769E">
        <w:rPr>
          <w:rFonts w:asciiTheme="minorEastAsia" w:hAnsiTheme="minorEastAsia"/>
          <w:noProof/>
          <w:szCs w:val="21"/>
        </w:rPr>
        <w:t>余额宝情绪指数</w:t>
      </w:r>
      <w:r w:rsidRPr="007A759D">
        <w:rPr>
          <w:rFonts w:asciiTheme="minorEastAsia" w:hAnsiTheme="minorEastAsia" w:hint="eastAsia"/>
          <w:noProof/>
          <w:szCs w:val="21"/>
        </w:rPr>
        <w:t>（</w:t>
      </w:r>
      <w:r>
        <w:rPr>
          <w:rFonts w:asciiTheme="minorEastAsia" w:hAnsiTheme="minorEastAsia"/>
          <w:noProof/>
          <w:szCs w:val="21"/>
        </w:rPr>
        <w:t>YUEBAO</w:t>
      </w:r>
      <w:r w:rsidRPr="007A759D">
        <w:rPr>
          <w:rFonts w:asciiTheme="minorEastAsia" w:hAnsiTheme="minorEastAsia" w:hint="eastAsia"/>
          <w:noProof/>
          <w:szCs w:val="21"/>
        </w:rPr>
        <w:t>）与上证指数收益率（</w:t>
      </w:r>
      <w:r w:rsidRPr="007A759D">
        <w:rPr>
          <w:rFonts w:asciiTheme="minorEastAsia" w:hAnsiTheme="minorEastAsia"/>
          <w:noProof/>
          <w:szCs w:val="21"/>
        </w:rPr>
        <w:t>SH00000</w:t>
      </w:r>
      <w:r w:rsidRPr="007A759D">
        <w:rPr>
          <w:rFonts w:asciiTheme="minorEastAsia" w:hAnsiTheme="minorEastAsia" w:hint="eastAsia"/>
          <w:noProof/>
          <w:szCs w:val="21"/>
        </w:rPr>
        <w:t>*</w:t>
      </w:r>
      <w:r>
        <w:rPr>
          <w:rFonts w:asciiTheme="minorEastAsia" w:hAnsiTheme="minorEastAsia"/>
          <w:noProof/>
          <w:szCs w:val="21"/>
        </w:rPr>
        <w:t>5</w:t>
      </w:r>
      <w:r w:rsidRPr="007A759D">
        <w:rPr>
          <w:rFonts w:asciiTheme="minorEastAsia" w:hAnsiTheme="minorEastAsia" w:hint="eastAsia"/>
          <w:noProof/>
          <w:szCs w:val="21"/>
        </w:rPr>
        <w:t>00）</w:t>
      </w:r>
    </w:p>
    <w:p w:rsidR="00501326" w:rsidRPr="00AE483C" w:rsidRDefault="00AE483C" w:rsidP="00AE483C">
      <w:pPr>
        <w:pStyle w:val="3"/>
      </w:pPr>
      <w:r w:rsidRPr="00AE483C">
        <w:rPr>
          <w:rFonts w:hint="eastAsia"/>
        </w:rPr>
        <w:t xml:space="preserve">3.2.2 </w:t>
      </w:r>
      <w:r w:rsidR="009A381A" w:rsidRPr="00AE483C">
        <w:rPr>
          <w:rFonts w:hint="eastAsia"/>
        </w:rPr>
        <w:t>散户舆情指数</w:t>
      </w:r>
      <w:r w:rsidR="00D945C5" w:rsidRPr="00AE483C">
        <w:rPr>
          <w:rFonts w:hint="eastAsia"/>
        </w:rPr>
        <w:t>能否预测上证指数超额收益率</w:t>
      </w:r>
    </w:p>
    <w:p w:rsidR="00093BCC" w:rsidRDefault="00515F5D" w:rsidP="00093BCC">
      <w:pPr>
        <w:autoSpaceDE w:val="0"/>
        <w:autoSpaceDN w:val="0"/>
        <w:adjustRightInd w:val="0"/>
        <w:spacing w:line="360" w:lineRule="auto"/>
        <w:ind w:firstLineChars="200" w:firstLine="420"/>
        <w:jc w:val="left"/>
        <w:rPr>
          <w:rFonts w:asciiTheme="minorEastAsia" w:hAnsiTheme="minorEastAsia" w:cs="Arial"/>
          <w:color w:val="000000"/>
          <w:kern w:val="0"/>
          <w:szCs w:val="21"/>
        </w:rPr>
      </w:pPr>
      <w:r w:rsidRPr="00515F5D">
        <w:rPr>
          <w:rFonts w:asciiTheme="minorEastAsia" w:hAnsiTheme="minorEastAsia" w:hint="eastAsia"/>
          <w:noProof/>
          <w:szCs w:val="21"/>
        </w:rPr>
        <w:t>参考蒋玉梅和王明照（2010）的研究，</w:t>
      </w:r>
      <w:proofErr w:type="gramStart"/>
      <w:r w:rsidR="00093BCC" w:rsidRPr="00515F5D">
        <w:rPr>
          <w:rFonts w:asciiTheme="minorEastAsia" w:hAnsiTheme="minorEastAsia" w:hint="eastAsia"/>
          <w:noProof/>
          <w:szCs w:val="21"/>
        </w:rPr>
        <w:t>以</w:t>
      </w:r>
      <w:r>
        <w:rPr>
          <w:rFonts w:ascii="宋体" w:hAnsi="宋体" w:hint="eastAsia"/>
        </w:rPr>
        <w:t>上证</w:t>
      </w:r>
      <w:proofErr w:type="gramEnd"/>
      <w:r>
        <w:rPr>
          <w:rFonts w:ascii="宋体" w:hAnsi="宋体" w:hint="eastAsia"/>
        </w:rPr>
        <w:t>指数超额收益率</w:t>
      </w:r>
      <w:r w:rsidR="00093BCC" w:rsidRPr="00515F5D">
        <w:rPr>
          <w:rFonts w:asciiTheme="minorEastAsia" w:hAnsiTheme="minorEastAsia" w:hint="eastAsia"/>
          <w:noProof/>
          <w:szCs w:val="21"/>
        </w:rPr>
        <w:t>为被解释变量、</w:t>
      </w:r>
      <w:r w:rsidR="009A381A" w:rsidRPr="009A381A">
        <w:rPr>
          <w:rFonts w:asciiTheme="minorEastAsia" w:hAnsiTheme="minorEastAsia" w:hint="eastAsia"/>
          <w:noProof/>
          <w:szCs w:val="21"/>
        </w:rPr>
        <w:t>散户舆情指数</w:t>
      </w:r>
      <w:r w:rsidR="00093BCC" w:rsidRPr="00515F5D">
        <w:rPr>
          <w:rFonts w:asciiTheme="minorEastAsia" w:hAnsiTheme="minorEastAsia" w:hint="eastAsia"/>
          <w:noProof/>
          <w:szCs w:val="21"/>
        </w:rPr>
        <w:t>为解释变量，建立</w:t>
      </w:r>
      <w:r w:rsidR="00774AB5">
        <w:rPr>
          <w:rFonts w:asciiTheme="minorEastAsia" w:hAnsiTheme="minorEastAsia" w:hint="eastAsia"/>
          <w:noProof/>
          <w:szCs w:val="21"/>
        </w:rPr>
        <w:t>回归</w:t>
      </w:r>
      <w:r w:rsidR="00093BCC" w:rsidRPr="00515F5D">
        <w:rPr>
          <w:rFonts w:asciiTheme="minorEastAsia" w:hAnsiTheme="minorEastAsia" w:hint="eastAsia"/>
          <w:noProof/>
          <w:szCs w:val="21"/>
        </w:rPr>
        <w:t>模型（</w:t>
      </w:r>
      <w:r>
        <w:rPr>
          <w:rFonts w:asciiTheme="minorEastAsia" w:hAnsiTheme="minorEastAsia" w:hint="eastAsia"/>
          <w:noProof/>
          <w:szCs w:val="21"/>
        </w:rPr>
        <w:t>1</w:t>
      </w:r>
      <w:r w:rsidR="00093BCC" w:rsidRPr="00515F5D">
        <w:rPr>
          <w:rFonts w:asciiTheme="minorEastAsia" w:hAnsiTheme="minorEastAsia" w:hint="eastAsia"/>
          <w:noProof/>
          <w:szCs w:val="21"/>
        </w:rPr>
        <w:t>）检验</w:t>
      </w:r>
      <w:r w:rsidR="009A381A" w:rsidRPr="0084204E">
        <w:rPr>
          <w:rFonts w:ascii="宋体" w:hAnsi="宋体" w:hint="eastAsia"/>
        </w:rPr>
        <w:t>散户舆情指数</w:t>
      </w:r>
      <w:r w:rsidRPr="00515F5D">
        <w:rPr>
          <w:rFonts w:asciiTheme="minorEastAsia" w:hAnsiTheme="minorEastAsia" w:hint="eastAsia"/>
          <w:noProof/>
          <w:szCs w:val="21"/>
        </w:rPr>
        <w:t>与</w:t>
      </w:r>
      <w:r w:rsidR="00A2602B" w:rsidRPr="00A2602B">
        <w:rPr>
          <w:rFonts w:asciiTheme="minorEastAsia" w:hAnsiTheme="minorEastAsia" w:hint="eastAsia"/>
          <w:noProof/>
          <w:szCs w:val="21"/>
        </w:rPr>
        <w:t>上证指数超额收益率</w:t>
      </w:r>
      <w:r w:rsidR="00093BCC" w:rsidRPr="00515F5D">
        <w:rPr>
          <w:rFonts w:asciiTheme="minorEastAsia" w:hAnsiTheme="minorEastAsia" w:hint="eastAsia"/>
          <w:noProof/>
          <w:szCs w:val="21"/>
        </w:rPr>
        <w:t>的关系。</w:t>
      </w:r>
      <w:r>
        <w:rPr>
          <w:rFonts w:ascii="宋体" w:hAnsi="宋体" w:hint="eastAsia"/>
        </w:rPr>
        <w:t>上证指数超额收益率定义为上证指数收益率减去</w:t>
      </w:r>
      <w:r w:rsidRPr="00B70337">
        <w:rPr>
          <w:rFonts w:asciiTheme="minorEastAsia" w:hAnsiTheme="minorEastAsia" w:cs="Arial" w:hint="eastAsia"/>
          <w:color w:val="000000"/>
          <w:kern w:val="0"/>
          <w:szCs w:val="21"/>
        </w:rPr>
        <w:t>无风险利率</w:t>
      </w:r>
      <w:r>
        <w:rPr>
          <w:rFonts w:asciiTheme="minorEastAsia" w:hAnsiTheme="minorEastAsia" w:cs="Arial" w:hint="eastAsia"/>
          <w:color w:val="000000"/>
          <w:kern w:val="0"/>
          <w:szCs w:val="21"/>
        </w:rPr>
        <w:t>。</w:t>
      </w:r>
    </w:p>
    <w:p w:rsidR="00774AB5" w:rsidRDefault="00792393" w:rsidP="00922417">
      <w:pPr>
        <w:wordWrap w:val="0"/>
        <w:autoSpaceDE w:val="0"/>
        <w:autoSpaceDN w:val="0"/>
        <w:adjustRightInd w:val="0"/>
        <w:spacing w:line="360" w:lineRule="auto"/>
        <w:ind w:firstLineChars="200" w:firstLine="420"/>
        <w:jc w:val="right"/>
        <w:rPr>
          <w:rFonts w:asciiTheme="minorEastAsia" w:hAnsiTheme="minorEastAsia" w:cs="Arial"/>
          <w:szCs w:val="21"/>
        </w:rPr>
      </w:pPr>
      <m:oMath>
        <m:sSub>
          <m:sSubPr>
            <m:ctrlPr>
              <w:rPr>
                <w:rFonts w:ascii="Cambria Math" w:hAnsi="Cambria Math"/>
                <w:i/>
                <w:noProof/>
                <w:szCs w:val="21"/>
              </w:rPr>
            </m:ctrlPr>
          </m:sSubPr>
          <m:e>
            <m:r>
              <w:rPr>
                <w:rFonts w:ascii="Cambria Math" w:hAnsi="Cambria Math"/>
                <w:noProof/>
                <w:szCs w:val="21"/>
              </w:rPr>
              <m:t>R</m:t>
            </m:r>
          </m:e>
          <m:sub>
            <m:r>
              <w:rPr>
                <w:rFonts w:ascii="Cambria Math" w:hAnsi="Cambria Math"/>
                <w:noProof/>
                <w:szCs w:val="21"/>
              </w:rPr>
              <m:t>Mt</m:t>
            </m:r>
          </m:sub>
        </m:sSub>
        <m:r>
          <w:rPr>
            <w:rFonts w:ascii="Cambria Math" w:hAnsi="Cambria Math"/>
            <w:noProof/>
            <w:szCs w:val="21"/>
          </w:rPr>
          <m:t>-</m:t>
        </m:r>
        <m:sSub>
          <m:sSubPr>
            <m:ctrlPr>
              <w:rPr>
                <w:rFonts w:ascii="Cambria Math" w:hAnsi="Cambria Math"/>
                <w:i/>
                <w:noProof/>
                <w:szCs w:val="21"/>
              </w:rPr>
            </m:ctrlPr>
          </m:sSubPr>
          <m:e>
            <m:r>
              <w:rPr>
                <w:rFonts w:ascii="Cambria Math" w:hAnsi="Cambria Math"/>
                <w:noProof/>
                <w:szCs w:val="21"/>
              </w:rPr>
              <m:t>R</m:t>
            </m:r>
          </m:e>
          <m:sub>
            <m:r>
              <w:rPr>
                <w:rFonts w:ascii="Cambria Math" w:hAnsi="Cambria Math"/>
                <w:noProof/>
                <w:szCs w:val="21"/>
              </w:rPr>
              <m:t>ft</m:t>
            </m:r>
          </m:sub>
        </m:sSub>
        <m:r>
          <w:rPr>
            <w:rFonts w:ascii="Cambria Math" w:hAnsi="Cambria Math"/>
            <w:noProof/>
            <w:szCs w:val="21"/>
          </w:rPr>
          <m:t>=</m:t>
        </m:r>
        <m:sSub>
          <m:sSubPr>
            <m:ctrlPr>
              <w:rPr>
                <w:rFonts w:ascii="Cambria Math" w:hAnsi="Cambria Math"/>
                <w:i/>
                <w:noProof/>
                <w:szCs w:val="21"/>
              </w:rPr>
            </m:ctrlPr>
          </m:sSubPr>
          <m:e>
            <m:r>
              <w:rPr>
                <w:rFonts w:ascii="Cambria Math" w:hAnsi="Cambria Math"/>
                <w:noProof/>
                <w:szCs w:val="21"/>
              </w:rPr>
              <m:t>β</m:t>
            </m:r>
          </m:e>
          <m:sub>
            <m:r>
              <w:rPr>
                <w:rFonts w:ascii="Cambria Math" w:hAnsi="Cambria Math"/>
                <w:noProof/>
                <w:szCs w:val="21"/>
              </w:rPr>
              <m:t>0</m:t>
            </m:r>
          </m:sub>
        </m:sSub>
        <m:r>
          <w:rPr>
            <w:rFonts w:ascii="Cambria Math" w:hAnsi="Cambria Math"/>
            <w:noProof/>
            <w:szCs w:val="21"/>
          </w:rPr>
          <m:t>+</m:t>
        </m:r>
        <m:sSub>
          <m:sSubPr>
            <m:ctrlPr>
              <w:rPr>
                <w:rFonts w:ascii="Cambria Math" w:hAnsi="Cambria Math"/>
                <w:i/>
                <w:noProof/>
                <w:szCs w:val="21"/>
              </w:rPr>
            </m:ctrlPr>
          </m:sSubPr>
          <m:e>
            <m:r>
              <w:rPr>
                <w:rFonts w:ascii="Cambria Math" w:hAnsi="Cambria Math"/>
                <w:noProof/>
                <w:szCs w:val="21"/>
              </w:rPr>
              <m:t>β</m:t>
            </m:r>
          </m:e>
          <m:sub>
            <m:r>
              <w:rPr>
                <w:rFonts w:ascii="Cambria Math" w:hAnsi="Cambria Math"/>
                <w:noProof/>
                <w:szCs w:val="21"/>
              </w:rPr>
              <m:t>1</m:t>
            </m:r>
          </m:sub>
        </m:sSub>
        <m:sSub>
          <m:sSubPr>
            <m:ctrlPr>
              <w:rPr>
                <w:rFonts w:ascii="Cambria Math" w:hAnsi="Cambria Math"/>
                <w:i/>
                <w:noProof/>
                <w:szCs w:val="21"/>
              </w:rPr>
            </m:ctrlPr>
          </m:sSubPr>
          <m:e>
            <m:r>
              <w:rPr>
                <w:rFonts w:ascii="Cambria Math" w:hAnsi="Cambria Math"/>
                <w:noProof/>
                <w:szCs w:val="21"/>
              </w:rPr>
              <m:t>SENT</m:t>
            </m:r>
          </m:e>
          <m:sub>
            <m:r>
              <w:rPr>
                <w:rFonts w:ascii="Cambria Math" w:hAnsi="Cambria Math"/>
                <w:noProof/>
                <w:szCs w:val="21"/>
              </w:rPr>
              <m:t>t</m:t>
            </m:r>
          </m:sub>
        </m:sSub>
        <m:r>
          <w:rPr>
            <w:rFonts w:ascii="Cambria Math" w:hAnsi="Cambria Math"/>
            <w:noProof/>
            <w:szCs w:val="21"/>
          </w:rPr>
          <m:t>+</m:t>
        </m:r>
        <m:sSub>
          <m:sSubPr>
            <m:ctrlPr>
              <w:rPr>
                <w:rFonts w:ascii="Cambria Math" w:hAnsi="Cambria Math"/>
                <w:i/>
                <w:noProof/>
                <w:szCs w:val="21"/>
              </w:rPr>
            </m:ctrlPr>
          </m:sSubPr>
          <m:e>
            <m:r>
              <w:rPr>
                <w:rFonts w:ascii="Cambria Math" w:hAnsi="Cambria Math"/>
                <w:noProof/>
                <w:szCs w:val="21"/>
              </w:rPr>
              <m:t>β</m:t>
            </m:r>
          </m:e>
          <m:sub>
            <m:r>
              <w:rPr>
                <w:rFonts w:ascii="Cambria Math" w:hAnsi="Cambria Math" w:hint="eastAsia"/>
                <w:noProof/>
                <w:szCs w:val="21"/>
              </w:rPr>
              <m:t>2</m:t>
            </m:r>
          </m:sub>
        </m:sSub>
        <m:sSub>
          <m:sSubPr>
            <m:ctrlPr>
              <w:rPr>
                <w:rFonts w:ascii="Cambria Math" w:hAnsi="Cambria Math"/>
                <w:i/>
                <w:noProof/>
                <w:szCs w:val="21"/>
              </w:rPr>
            </m:ctrlPr>
          </m:sSubPr>
          <m:e>
            <m:r>
              <w:rPr>
                <w:rFonts w:ascii="Cambria Math" w:hAnsi="Cambria Math"/>
                <w:noProof/>
                <w:szCs w:val="21"/>
              </w:rPr>
              <m:t>SENT</m:t>
            </m:r>
          </m:e>
          <m:sub>
            <m:r>
              <w:rPr>
                <w:rFonts w:ascii="Cambria Math" w:hAnsi="Cambria Math"/>
                <w:noProof/>
                <w:szCs w:val="21"/>
              </w:rPr>
              <m:t>t-j</m:t>
            </m:r>
          </m:sub>
        </m:sSub>
        <m:r>
          <w:rPr>
            <w:rFonts w:ascii="Cambria Math" w:hAnsi="Cambria Math"/>
            <w:noProof/>
            <w:szCs w:val="21"/>
          </w:rPr>
          <m:t>+</m:t>
        </m:r>
        <m:sSub>
          <m:sSubPr>
            <m:ctrlPr>
              <w:rPr>
                <w:rFonts w:ascii="Cambria Math" w:hAnsi="Cambria Math"/>
                <w:i/>
                <w:noProof/>
                <w:szCs w:val="21"/>
              </w:rPr>
            </m:ctrlPr>
          </m:sSubPr>
          <m:e>
            <m:r>
              <w:rPr>
                <w:rFonts w:ascii="Cambria Math" w:hAnsi="Cambria Math"/>
                <w:noProof/>
                <w:szCs w:val="21"/>
              </w:rPr>
              <m:t>μ</m:t>
            </m:r>
          </m:e>
          <m:sub>
            <m:r>
              <w:rPr>
                <w:rFonts w:ascii="Cambria Math" w:hAnsi="Cambria Math"/>
                <w:noProof/>
                <w:szCs w:val="21"/>
              </w:rPr>
              <m:t>t</m:t>
            </m:r>
          </m:sub>
        </m:sSub>
      </m:oMath>
      <w:r w:rsidR="007159EC">
        <w:rPr>
          <w:rFonts w:asciiTheme="minorEastAsia" w:hAnsiTheme="minorEastAsia" w:cs="Arial" w:hint="eastAsia"/>
          <w:szCs w:val="21"/>
        </w:rPr>
        <w:t xml:space="preserve">                </w:t>
      </w:r>
      <w:r w:rsidR="000F4EF9" w:rsidRPr="000F4EF9">
        <w:rPr>
          <w:rFonts w:asciiTheme="minorEastAsia" w:hAnsiTheme="minorEastAsia" w:cs="Arial" w:hint="eastAsia"/>
          <w:szCs w:val="21"/>
        </w:rPr>
        <w:t>（1）</w:t>
      </w:r>
    </w:p>
    <w:p w:rsidR="009A381A" w:rsidRDefault="009A381A" w:rsidP="009A381A">
      <w:pPr>
        <w:autoSpaceDE w:val="0"/>
        <w:autoSpaceDN w:val="0"/>
        <w:adjustRightInd w:val="0"/>
        <w:spacing w:line="360" w:lineRule="auto"/>
        <w:ind w:firstLineChars="200" w:firstLine="420"/>
        <w:jc w:val="left"/>
        <w:rPr>
          <w:rFonts w:ascii="宋体" w:hAnsi="宋体"/>
          <w:szCs w:val="21"/>
        </w:rPr>
      </w:pPr>
      <w:r>
        <w:rPr>
          <w:rFonts w:asciiTheme="minorEastAsia" w:hAnsiTheme="minorEastAsia" w:cs="Arial" w:hint="eastAsia"/>
          <w:szCs w:val="21"/>
        </w:rPr>
        <w:t>其中，</w:t>
      </w:r>
      <m:oMath>
        <m:sSub>
          <m:sSubPr>
            <m:ctrlPr>
              <w:rPr>
                <w:rFonts w:ascii="Cambria Math" w:hAnsi="Cambria Math"/>
                <w:i/>
                <w:noProof/>
                <w:szCs w:val="21"/>
              </w:rPr>
            </m:ctrlPr>
          </m:sSubPr>
          <m:e>
            <m:r>
              <w:rPr>
                <w:rFonts w:ascii="Cambria Math" w:hAnsi="Cambria Math"/>
                <w:noProof/>
                <w:szCs w:val="21"/>
              </w:rPr>
              <m:t>R</m:t>
            </m:r>
          </m:e>
          <m:sub>
            <m:r>
              <w:rPr>
                <w:rFonts w:ascii="Cambria Math" w:hAnsi="Cambria Math"/>
                <w:noProof/>
                <w:szCs w:val="21"/>
              </w:rPr>
              <m:t>Mt</m:t>
            </m:r>
          </m:sub>
        </m:sSub>
      </m:oMath>
      <w:r>
        <w:rPr>
          <w:rFonts w:asciiTheme="minorEastAsia" w:hAnsiTheme="minorEastAsia" w:cs="Arial" w:hint="eastAsia"/>
          <w:szCs w:val="21"/>
        </w:rPr>
        <w:t>为</w:t>
      </w:r>
      <w:r>
        <w:rPr>
          <w:rFonts w:ascii="宋体" w:hAnsi="宋体" w:hint="eastAsia"/>
        </w:rPr>
        <w:t>上证指数收益率</w:t>
      </w:r>
      <w:r w:rsidR="00AB4EE6">
        <w:rPr>
          <w:rFonts w:ascii="宋体" w:hAnsi="宋体" w:hint="eastAsia"/>
        </w:rPr>
        <w:t>；</w:t>
      </w:r>
      <m:oMath>
        <m:sSub>
          <m:sSubPr>
            <m:ctrlPr>
              <w:rPr>
                <w:rFonts w:ascii="Cambria Math" w:hAnsi="Cambria Math"/>
                <w:i/>
                <w:noProof/>
                <w:szCs w:val="21"/>
              </w:rPr>
            </m:ctrlPr>
          </m:sSubPr>
          <m:e>
            <m:r>
              <w:rPr>
                <w:rFonts w:ascii="Cambria Math" w:hAnsi="Cambria Math"/>
                <w:noProof/>
                <w:szCs w:val="21"/>
              </w:rPr>
              <m:t>R</m:t>
            </m:r>
          </m:e>
          <m:sub>
            <m:r>
              <w:rPr>
                <w:rFonts w:ascii="Cambria Math" w:hAnsi="Cambria Math"/>
                <w:noProof/>
                <w:szCs w:val="21"/>
              </w:rPr>
              <m:t>ft</m:t>
            </m:r>
          </m:sub>
        </m:sSub>
      </m:oMath>
      <w:r>
        <w:rPr>
          <w:rFonts w:ascii="宋体" w:hAnsi="宋体" w:hint="eastAsia"/>
          <w:szCs w:val="21"/>
        </w:rPr>
        <w:t>为</w:t>
      </w:r>
      <w:r w:rsidRPr="00B70337">
        <w:rPr>
          <w:rFonts w:asciiTheme="minorEastAsia" w:hAnsiTheme="minorEastAsia" w:cs="Arial" w:hint="eastAsia"/>
          <w:color w:val="000000"/>
          <w:kern w:val="0"/>
          <w:szCs w:val="21"/>
        </w:rPr>
        <w:t>无风险利率</w:t>
      </w:r>
      <w:r w:rsidR="00AB4EE6">
        <w:rPr>
          <w:rFonts w:asciiTheme="minorEastAsia" w:hAnsiTheme="minorEastAsia" w:cs="Arial" w:hint="eastAsia"/>
          <w:color w:val="000000"/>
          <w:kern w:val="0"/>
          <w:szCs w:val="21"/>
        </w:rPr>
        <w:t>；</w:t>
      </w:r>
      <m:oMath>
        <m:sSub>
          <m:sSubPr>
            <m:ctrlPr>
              <w:rPr>
                <w:rFonts w:ascii="Cambria Math" w:hAnsi="Cambria Math"/>
                <w:i/>
                <w:noProof/>
                <w:szCs w:val="21"/>
              </w:rPr>
            </m:ctrlPr>
          </m:sSubPr>
          <m:e>
            <m:r>
              <w:rPr>
                <w:rFonts w:ascii="Cambria Math" w:hAnsi="Cambria Math"/>
                <w:noProof/>
                <w:szCs w:val="21"/>
              </w:rPr>
              <m:t>SENT</m:t>
            </m:r>
          </m:e>
          <m:sub>
            <m:r>
              <w:rPr>
                <w:rFonts w:ascii="Cambria Math" w:hAnsi="Cambria Math"/>
                <w:noProof/>
                <w:szCs w:val="21"/>
              </w:rPr>
              <m:t>t</m:t>
            </m:r>
          </m:sub>
        </m:sSub>
      </m:oMath>
      <w:r>
        <w:rPr>
          <w:rFonts w:asciiTheme="minorEastAsia" w:hAnsiTheme="minorEastAsia" w:cs="Arial" w:hint="eastAsia"/>
          <w:szCs w:val="21"/>
        </w:rPr>
        <w:t>为</w:t>
      </w:r>
      <w:r w:rsidRPr="0084204E">
        <w:rPr>
          <w:rFonts w:ascii="宋体" w:hAnsi="宋体" w:hint="eastAsia"/>
        </w:rPr>
        <w:t>散户舆情指数</w:t>
      </w:r>
      <w:r w:rsidR="00AB4EE6">
        <w:rPr>
          <w:rFonts w:ascii="宋体" w:hAnsi="宋体" w:hint="eastAsia"/>
        </w:rPr>
        <w:t>；</w:t>
      </w:r>
      <m:oMath>
        <m:r>
          <w:rPr>
            <w:rFonts w:ascii="Cambria Math" w:hAnsi="Cambria Math"/>
          </w:rPr>
          <m:t>j</m:t>
        </m:r>
      </m:oMath>
      <w:r>
        <w:rPr>
          <w:rFonts w:ascii="宋体" w:hAnsi="宋体" w:hint="eastAsia"/>
        </w:rPr>
        <w:t>为待确定的滞后期数（1，2，3，</w:t>
      </w:r>
      <w:r>
        <w:rPr>
          <w:rFonts w:ascii="宋体" w:hAnsi="宋体"/>
        </w:rPr>
        <w:t>…,12</w:t>
      </w:r>
      <w:r>
        <w:rPr>
          <w:rFonts w:ascii="宋体" w:hAnsi="宋体" w:hint="eastAsia"/>
        </w:rPr>
        <w:t>）</w:t>
      </w:r>
      <w:r w:rsidR="00AB4EE6">
        <w:rPr>
          <w:rFonts w:ascii="宋体" w:hAnsi="宋体" w:hint="eastAsia"/>
        </w:rPr>
        <w:t>；</w:t>
      </w:r>
      <m:oMath>
        <m:sSub>
          <m:sSubPr>
            <m:ctrlPr>
              <w:rPr>
                <w:rFonts w:ascii="Cambria Math" w:hAnsi="Cambria Math"/>
                <w:i/>
                <w:noProof/>
                <w:szCs w:val="21"/>
              </w:rPr>
            </m:ctrlPr>
          </m:sSubPr>
          <m:e>
            <m:r>
              <w:rPr>
                <w:rFonts w:ascii="Cambria Math" w:hAnsi="Cambria Math"/>
                <w:noProof/>
                <w:szCs w:val="21"/>
              </w:rPr>
              <m:t>μ</m:t>
            </m:r>
          </m:e>
          <m:sub>
            <m:r>
              <w:rPr>
                <w:rFonts w:ascii="Cambria Math" w:hAnsi="Cambria Math"/>
                <w:noProof/>
                <w:szCs w:val="21"/>
              </w:rPr>
              <m:t>t</m:t>
            </m:r>
          </m:sub>
        </m:sSub>
      </m:oMath>
      <w:r w:rsidR="00BC7A91">
        <w:rPr>
          <w:rFonts w:ascii="宋体" w:hAnsi="宋体" w:hint="eastAsia"/>
          <w:szCs w:val="21"/>
        </w:rPr>
        <w:t>为随机误差项。</w:t>
      </w:r>
      <w:r w:rsidR="006E557B" w:rsidRPr="006E557B">
        <w:rPr>
          <w:rFonts w:ascii="宋体" w:hAnsi="宋体" w:hint="eastAsia"/>
          <w:szCs w:val="21"/>
        </w:rPr>
        <w:t>这些参数均用OLS方法估计，使用</w:t>
      </w:r>
      <w:r w:rsidR="006E557B" w:rsidRPr="006E557B">
        <w:rPr>
          <w:rFonts w:ascii="宋体" w:hAnsi="宋体"/>
          <w:szCs w:val="21"/>
        </w:rPr>
        <w:t>Newey</w:t>
      </w:r>
      <w:r w:rsidR="006E557B" w:rsidRPr="006E557B">
        <w:rPr>
          <w:rFonts w:ascii="宋体" w:hAnsi="宋体" w:hint="eastAsia"/>
          <w:szCs w:val="21"/>
        </w:rPr>
        <w:t>-</w:t>
      </w:r>
      <w:r w:rsidR="006E557B" w:rsidRPr="006E557B">
        <w:rPr>
          <w:rFonts w:ascii="宋体" w:hAnsi="宋体"/>
          <w:szCs w:val="21"/>
        </w:rPr>
        <w:t>West</w:t>
      </w:r>
      <w:r w:rsidR="006E557B" w:rsidRPr="006E557B">
        <w:rPr>
          <w:rFonts w:ascii="宋体" w:hAnsi="宋体" w:hint="eastAsia"/>
          <w:szCs w:val="21"/>
        </w:rPr>
        <w:t>标准误控制误差项中的自相关和</w:t>
      </w:r>
      <w:proofErr w:type="gramStart"/>
      <w:r w:rsidR="006E557B" w:rsidRPr="006E557B">
        <w:rPr>
          <w:rFonts w:ascii="宋体" w:hAnsi="宋体" w:hint="eastAsia"/>
          <w:szCs w:val="21"/>
        </w:rPr>
        <w:t>异方差</w:t>
      </w:r>
      <w:proofErr w:type="gramEnd"/>
      <w:r w:rsidR="006E557B" w:rsidRPr="006E557B">
        <w:rPr>
          <w:rFonts w:ascii="宋体" w:hAnsi="宋体" w:hint="eastAsia"/>
          <w:szCs w:val="21"/>
        </w:rPr>
        <w:t>。</w:t>
      </w:r>
    </w:p>
    <w:p w:rsidR="00D344AE" w:rsidRPr="00D344AE" w:rsidRDefault="00D344AE" w:rsidP="00D344AE">
      <w:pPr>
        <w:autoSpaceDE w:val="0"/>
        <w:autoSpaceDN w:val="0"/>
        <w:adjustRightInd w:val="0"/>
        <w:spacing w:line="360" w:lineRule="auto"/>
        <w:ind w:firstLineChars="200" w:firstLine="420"/>
        <w:jc w:val="left"/>
        <w:rPr>
          <w:rFonts w:ascii="宋体" w:hAnsi="宋体"/>
          <w:szCs w:val="21"/>
        </w:rPr>
      </w:pPr>
      <w:r w:rsidRPr="00D344AE">
        <w:rPr>
          <w:rFonts w:ascii="宋体" w:hAnsi="宋体" w:hint="eastAsia"/>
          <w:szCs w:val="21"/>
        </w:rPr>
        <w:lastRenderedPageBreak/>
        <w:t>回归分析结果可以检验散户舆情指数的滞后项是否对上证指数超额收益率的当期值有影响，即散户情绪是否对上证指数超额收益率有预测作用。</w:t>
      </w:r>
    </w:p>
    <w:p w:rsidR="005552E3" w:rsidRDefault="005552E3" w:rsidP="009A381A">
      <w:pPr>
        <w:autoSpaceDE w:val="0"/>
        <w:autoSpaceDN w:val="0"/>
        <w:adjustRightInd w:val="0"/>
        <w:spacing w:line="360" w:lineRule="auto"/>
        <w:ind w:firstLineChars="200" w:firstLine="420"/>
        <w:jc w:val="left"/>
        <w:rPr>
          <w:rFonts w:ascii="宋体" w:hAnsi="宋体"/>
        </w:rPr>
      </w:pPr>
      <w:r>
        <w:rPr>
          <w:rFonts w:ascii="宋体" w:hAnsi="宋体" w:hint="eastAsia"/>
          <w:szCs w:val="21"/>
        </w:rPr>
        <w:t>首先对</w:t>
      </w:r>
      <w:bookmarkStart w:id="17" w:name="OLE_LINK17"/>
      <w:bookmarkStart w:id="18" w:name="OLE_LINK18"/>
      <w:r w:rsidR="00BF121E">
        <w:rPr>
          <w:rFonts w:ascii="宋体" w:hAnsi="宋体" w:hint="eastAsia"/>
        </w:rPr>
        <w:t>上证指数超额收益率和</w:t>
      </w:r>
      <w:r w:rsidR="00BF121E" w:rsidRPr="0084204E">
        <w:rPr>
          <w:rFonts w:ascii="宋体" w:hAnsi="宋体" w:hint="eastAsia"/>
        </w:rPr>
        <w:t>散户舆情指数</w:t>
      </w:r>
      <w:bookmarkEnd w:id="17"/>
      <w:bookmarkEnd w:id="18"/>
      <w:r>
        <w:rPr>
          <w:rFonts w:ascii="宋体" w:hAnsi="宋体" w:hint="eastAsia"/>
          <w:szCs w:val="21"/>
        </w:rPr>
        <w:t>进行单位根检验，检验结果如表1</w:t>
      </w:r>
      <w:r w:rsidR="00BF121E">
        <w:rPr>
          <w:rFonts w:ascii="宋体" w:hAnsi="宋体" w:hint="eastAsia"/>
          <w:szCs w:val="21"/>
        </w:rPr>
        <w:t>所示。检验结果表明，在0.05的显著性水平下，均拒绝原假设，表明</w:t>
      </w:r>
      <w:r w:rsidR="00BF121E">
        <w:rPr>
          <w:rFonts w:ascii="宋体" w:hAnsi="宋体" w:hint="eastAsia"/>
        </w:rPr>
        <w:t>上证指数超额收益率和</w:t>
      </w:r>
      <w:r w:rsidR="00BF121E" w:rsidRPr="0084204E">
        <w:rPr>
          <w:rFonts w:ascii="宋体" w:hAnsi="宋体" w:hint="eastAsia"/>
        </w:rPr>
        <w:t>散户舆情指数</w:t>
      </w:r>
      <w:r w:rsidR="00BF121E">
        <w:rPr>
          <w:rFonts w:ascii="宋体" w:hAnsi="宋体" w:hint="eastAsia"/>
        </w:rPr>
        <w:t>序列均满足平稳性要求。</w:t>
      </w:r>
    </w:p>
    <w:p w:rsidR="001713E3" w:rsidRDefault="001713E3" w:rsidP="009A381A">
      <w:pPr>
        <w:autoSpaceDE w:val="0"/>
        <w:autoSpaceDN w:val="0"/>
        <w:adjustRightInd w:val="0"/>
        <w:spacing w:line="360" w:lineRule="auto"/>
        <w:ind w:firstLineChars="200" w:firstLine="420"/>
        <w:jc w:val="left"/>
        <w:rPr>
          <w:rFonts w:ascii="宋体" w:hAnsi="宋体"/>
        </w:rPr>
      </w:pPr>
    </w:p>
    <w:p w:rsidR="003A5FD6" w:rsidRPr="00E0393F" w:rsidRDefault="00224853" w:rsidP="00E0393F">
      <w:pPr>
        <w:autoSpaceDE w:val="0"/>
        <w:autoSpaceDN w:val="0"/>
        <w:adjustRightInd w:val="0"/>
        <w:spacing w:line="360" w:lineRule="auto"/>
        <w:ind w:firstLineChars="200" w:firstLine="422"/>
        <w:jc w:val="center"/>
        <w:rPr>
          <w:rFonts w:ascii="宋体" w:hAnsi="宋体"/>
          <w:b/>
        </w:rPr>
      </w:pPr>
      <w:bookmarkStart w:id="19" w:name="OLE_LINK21"/>
      <w:bookmarkStart w:id="20" w:name="OLE_LINK22"/>
      <w:r w:rsidRPr="00E0393F">
        <w:rPr>
          <w:rFonts w:ascii="宋体" w:hAnsi="宋体" w:hint="eastAsia"/>
          <w:b/>
        </w:rPr>
        <w:t>表</w:t>
      </w:r>
      <w:r w:rsidR="00E0393F" w:rsidRPr="00E0393F">
        <w:rPr>
          <w:rFonts w:ascii="宋体" w:hAnsi="宋体" w:hint="eastAsia"/>
          <w:b/>
        </w:rPr>
        <w:t xml:space="preserve">1 </w:t>
      </w:r>
      <w:r w:rsidRPr="00E0393F">
        <w:rPr>
          <w:rFonts w:ascii="宋体" w:hAnsi="宋体" w:hint="eastAsia"/>
          <w:b/>
        </w:rPr>
        <w:t>单位根检验结果</w:t>
      </w:r>
    </w:p>
    <w:tbl>
      <w:tblPr>
        <w:tblStyle w:val="aa"/>
        <w:tblW w:w="0" w:type="auto"/>
        <w:jc w:val="center"/>
        <w:tblBorders>
          <w:left w:val="none" w:sz="0" w:space="0" w:color="auto"/>
          <w:right w:val="none" w:sz="0" w:space="0" w:color="auto"/>
        </w:tblBorders>
        <w:tblLook w:val="04A0" w:firstRow="1" w:lastRow="0" w:firstColumn="1" w:lastColumn="0" w:noHBand="0" w:noVBand="1"/>
      </w:tblPr>
      <w:tblGrid>
        <w:gridCol w:w="1897"/>
        <w:gridCol w:w="1897"/>
        <w:gridCol w:w="1843"/>
        <w:gridCol w:w="1843"/>
      </w:tblGrid>
      <w:tr w:rsidR="00082806" w:rsidRPr="003A5FD6" w:rsidTr="00224853">
        <w:trPr>
          <w:jc w:val="center"/>
        </w:trPr>
        <w:tc>
          <w:tcPr>
            <w:tcW w:w="7480" w:type="dxa"/>
            <w:gridSpan w:val="4"/>
            <w:tcBorders>
              <w:bottom w:val="single" w:sz="4" w:space="0" w:color="auto"/>
            </w:tcBorders>
            <w:vAlign w:val="center"/>
          </w:tcPr>
          <w:p w:rsidR="00082806" w:rsidRPr="003A5FD6" w:rsidRDefault="00082806" w:rsidP="003A5FD6">
            <w:pPr>
              <w:autoSpaceDE w:val="0"/>
              <w:autoSpaceDN w:val="0"/>
              <w:adjustRightInd w:val="0"/>
              <w:spacing w:line="360" w:lineRule="auto"/>
              <w:jc w:val="center"/>
              <w:rPr>
                <w:rFonts w:ascii="宋体" w:hAnsi="宋体"/>
                <w:szCs w:val="21"/>
              </w:rPr>
            </w:pPr>
            <w:r w:rsidRPr="003A5FD6">
              <w:rPr>
                <w:rFonts w:ascii="宋体" w:hAnsi="宋体" w:hint="eastAsia"/>
                <w:szCs w:val="21"/>
              </w:rPr>
              <w:t>原假设：存在单位根</w:t>
            </w:r>
          </w:p>
        </w:tc>
      </w:tr>
      <w:tr w:rsidR="00082806" w:rsidRPr="003A5FD6" w:rsidTr="00224853">
        <w:trPr>
          <w:jc w:val="center"/>
        </w:trPr>
        <w:tc>
          <w:tcPr>
            <w:tcW w:w="3794" w:type="dxa"/>
            <w:gridSpan w:val="2"/>
            <w:tcBorders>
              <w:right w:val="nil"/>
            </w:tcBorders>
            <w:vAlign w:val="center"/>
          </w:tcPr>
          <w:p w:rsidR="00082806" w:rsidRPr="003A5FD6" w:rsidRDefault="00082806" w:rsidP="003A5FD6">
            <w:pPr>
              <w:autoSpaceDE w:val="0"/>
              <w:autoSpaceDN w:val="0"/>
              <w:adjustRightInd w:val="0"/>
              <w:spacing w:line="360" w:lineRule="auto"/>
              <w:jc w:val="center"/>
              <w:rPr>
                <w:rFonts w:ascii="宋体" w:hAnsi="宋体"/>
                <w:szCs w:val="21"/>
              </w:rPr>
            </w:pPr>
            <w:r w:rsidRPr="003A5FD6">
              <w:rPr>
                <w:rFonts w:ascii="宋体" w:hAnsi="宋体" w:hint="eastAsia"/>
                <w:szCs w:val="21"/>
              </w:rPr>
              <w:t>上证指数超额收益率</w:t>
            </w:r>
          </w:p>
        </w:tc>
        <w:tc>
          <w:tcPr>
            <w:tcW w:w="3686" w:type="dxa"/>
            <w:gridSpan w:val="2"/>
            <w:tcBorders>
              <w:left w:val="nil"/>
            </w:tcBorders>
            <w:vAlign w:val="center"/>
          </w:tcPr>
          <w:p w:rsidR="00082806" w:rsidRPr="003A5FD6" w:rsidRDefault="00082806" w:rsidP="003A5FD6">
            <w:pPr>
              <w:autoSpaceDE w:val="0"/>
              <w:autoSpaceDN w:val="0"/>
              <w:adjustRightInd w:val="0"/>
              <w:spacing w:line="360" w:lineRule="auto"/>
              <w:jc w:val="center"/>
              <w:rPr>
                <w:rFonts w:ascii="宋体" w:hAnsi="宋体"/>
                <w:szCs w:val="21"/>
              </w:rPr>
            </w:pPr>
            <w:r w:rsidRPr="003A5FD6">
              <w:rPr>
                <w:rFonts w:ascii="宋体" w:hAnsi="宋体" w:hint="eastAsia"/>
                <w:szCs w:val="21"/>
              </w:rPr>
              <w:t>散户舆情指数</w:t>
            </w:r>
          </w:p>
        </w:tc>
      </w:tr>
      <w:tr w:rsidR="00082806" w:rsidRPr="003A5FD6" w:rsidTr="00224853">
        <w:trPr>
          <w:jc w:val="center"/>
        </w:trPr>
        <w:tc>
          <w:tcPr>
            <w:tcW w:w="1897" w:type="dxa"/>
            <w:tcBorders>
              <w:right w:val="nil"/>
            </w:tcBorders>
            <w:vAlign w:val="center"/>
          </w:tcPr>
          <w:p w:rsidR="00082806" w:rsidRPr="003A5FD6" w:rsidRDefault="00082806" w:rsidP="003A5FD6">
            <w:pPr>
              <w:autoSpaceDE w:val="0"/>
              <w:autoSpaceDN w:val="0"/>
              <w:adjustRightInd w:val="0"/>
              <w:spacing w:line="360" w:lineRule="auto"/>
              <w:jc w:val="center"/>
              <w:rPr>
                <w:rFonts w:ascii="宋体" w:hAnsi="宋体"/>
                <w:szCs w:val="21"/>
              </w:rPr>
            </w:pPr>
            <w:r w:rsidRPr="003A5FD6">
              <w:rPr>
                <w:rFonts w:ascii="宋体" w:hAnsi="宋体" w:hint="eastAsia"/>
                <w:szCs w:val="21"/>
              </w:rPr>
              <w:t>ADF检验统计量</w:t>
            </w:r>
          </w:p>
        </w:tc>
        <w:tc>
          <w:tcPr>
            <w:tcW w:w="1897" w:type="dxa"/>
            <w:tcBorders>
              <w:left w:val="nil"/>
              <w:right w:val="nil"/>
            </w:tcBorders>
            <w:vAlign w:val="center"/>
          </w:tcPr>
          <w:p w:rsidR="00082806" w:rsidRPr="003A5FD6" w:rsidRDefault="00082806" w:rsidP="003A5FD6">
            <w:pPr>
              <w:autoSpaceDE w:val="0"/>
              <w:autoSpaceDN w:val="0"/>
              <w:adjustRightInd w:val="0"/>
              <w:spacing w:line="360" w:lineRule="auto"/>
              <w:jc w:val="center"/>
              <w:rPr>
                <w:rFonts w:ascii="宋体" w:hAnsi="宋体"/>
                <w:szCs w:val="21"/>
              </w:rPr>
            </w:pPr>
            <w:r w:rsidRPr="003A5FD6">
              <w:rPr>
                <w:rFonts w:ascii="宋体" w:hAnsi="宋体"/>
                <w:szCs w:val="21"/>
              </w:rPr>
              <w:t>P</w:t>
            </w:r>
            <w:r w:rsidRPr="003A5FD6">
              <w:rPr>
                <w:rFonts w:ascii="宋体" w:hAnsi="宋体" w:hint="eastAsia"/>
                <w:szCs w:val="21"/>
              </w:rPr>
              <w:t>值</w:t>
            </w:r>
          </w:p>
        </w:tc>
        <w:tc>
          <w:tcPr>
            <w:tcW w:w="1843" w:type="dxa"/>
            <w:tcBorders>
              <w:left w:val="nil"/>
              <w:right w:val="nil"/>
            </w:tcBorders>
            <w:vAlign w:val="center"/>
          </w:tcPr>
          <w:p w:rsidR="00082806" w:rsidRPr="003A5FD6" w:rsidRDefault="00082806" w:rsidP="003A5FD6">
            <w:pPr>
              <w:autoSpaceDE w:val="0"/>
              <w:autoSpaceDN w:val="0"/>
              <w:adjustRightInd w:val="0"/>
              <w:spacing w:line="360" w:lineRule="auto"/>
              <w:jc w:val="center"/>
              <w:rPr>
                <w:rFonts w:ascii="宋体" w:hAnsi="宋体"/>
                <w:szCs w:val="21"/>
              </w:rPr>
            </w:pPr>
            <w:r w:rsidRPr="003A5FD6">
              <w:rPr>
                <w:rFonts w:ascii="宋体" w:hAnsi="宋体" w:hint="eastAsia"/>
                <w:szCs w:val="21"/>
              </w:rPr>
              <w:t>ADF检验统计量</w:t>
            </w:r>
          </w:p>
        </w:tc>
        <w:tc>
          <w:tcPr>
            <w:tcW w:w="1843" w:type="dxa"/>
            <w:tcBorders>
              <w:left w:val="nil"/>
            </w:tcBorders>
            <w:vAlign w:val="center"/>
          </w:tcPr>
          <w:p w:rsidR="00082806" w:rsidRPr="003A5FD6" w:rsidRDefault="00082806" w:rsidP="003A5FD6">
            <w:pPr>
              <w:autoSpaceDE w:val="0"/>
              <w:autoSpaceDN w:val="0"/>
              <w:adjustRightInd w:val="0"/>
              <w:spacing w:line="360" w:lineRule="auto"/>
              <w:jc w:val="center"/>
              <w:rPr>
                <w:rFonts w:ascii="宋体" w:hAnsi="宋体"/>
                <w:szCs w:val="21"/>
              </w:rPr>
            </w:pPr>
            <w:r w:rsidRPr="003A5FD6">
              <w:rPr>
                <w:rFonts w:ascii="宋体" w:hAnsi="宋体"/>
                <w:szCs w:val="21"/>
              </w:rPr>
              <w:t>P</w:t>
            </w:r>
            <w:r w:rsidRPr="003A5FD6">
              <w:rPr>
                <w:rFonts w:ascii="宋体" w:hAnsi="宋体" w:hint="eastAsia"/>
                <w:szCs w:val="21"/>
              </w:rPr>
              <w:t>值</w:t>
            </w:r>
          </w:p>
        </w:tc>
      </w:tr>
      <w:tr w:rsidR="00082806" w:rsidRPr="003A5FD6" w:rsidTr="00224853">
        <w:trPr>
          <w:jc w:val="center"/>
        </w:trPr>
        <w:tc>
          <w:tcPr>
            <w:tcW w:w="1897" w:type="dxa"/>
            <w:tcBorders>
              <w:right w:val="nil"/>
            </w:tcBorders>
            <w:vAlign w:val="center"/>
          </w:tcPr>
          <w:p w:rsidR="00082806" w:rsidRPr="003A5FD6" w:rsidRDefault="00082806" w:rsidP="003A5FD6">
            <w:pPr>
              <w:autoSpaceDE w:val="0"/>
              <w:autoSpaceDN w:val="0"/>
              <w:adjustRightInd w:val="0"/>
              <w:spacing w:line="360" w:lineRule="auto"/>
              <w:jc w:val="center"/>
              <w:rPr>
                <w:rFonts w:ascii="宋体" w:hAnsi="宋体"/>
                <w:szCs w:val="21"/>
              </w:rPr>
            </w:pPr>
            <w:r w:rsidRPr="009D705F">
              <w:rPr>
                <w:rFonts w:ascii="宋体" w:hAnsi="宋体"/>
                <w:szCs w:val="21"/>
              </w:rPr>
              <w:t>-11.5223</w:t>
            </w:r>
          </w:p>
        </w:tc>
        <w:tc>
          <w:tcPr>
            <w:tcW w:w="1897" w:type="dxa"/>
            <w:tcBorders>
              <w:left w:val="nil"/>
              <w:right w:val="nil"/>
            </w:tcBorders>
            <w:vAlign w:val="center"/>
          </w:tcPr>
          <w:p w:rsidR="00082806" w:rsidRPr="003A5FD6" w:rsidRDefault="00082806" w:rsidP="003A5FD6">
            <w:pPr>
              <w:autoSpaceDE w:val="0"/>
              <w:autoSpaceDN w:val="0"/>
              <w:adjustRightInd w:val="0"/>
              <w:spacing w:line="360" w:lineRule="auto"/>
              <w:jc w:val="center"/>
              <w:rPr>
                <w:rFonts w:ascii="宋体" w:hAnsi="宋体"/>
                <w:szCs w:val="21"/>
              </w:rPr>
            </w:pPr>
            <w:r w:rsidRPr="009D705F">
              <w:rPr>
                <w:rFonts w:ascii="宋体" w:hAnsi="宋体"/>
                <w:szCs w:val="21"/>
              </w:rPr>
              <w:t>0.0000</w:t>
            </w:r>
          </w:p>
        </w:tc>
        <w:tc>
          <w:tcPr>
            <w:tcW w:w="1843" w:type="dxa"/>
            <w:tcBorders>
              <w:left w:val="nil"/>
              <w:right w:val="nil"/>
            </w:tcBorders>
            <w:vAlign w:val="center"/>
          </w:tcPr>
          <w:p w:rsidR="00082806" w:rsidRPr="003A5FD6" w:rsidRDefault="003A5FD6" w:rsidP="003A5FD6">
            <w:pPr>
              <w:autoSpaceDE w:val="0"/>
              <w:autoSpaceDN w:val="0"/>
              <w:adjustRightInd w:val="0"/>
              <w:spacing w:line="360" w:lineRule="auto"/>
              <w:jc w:val="center"/>
              <w:rPr>
                <w:rFonts w:ascii="宋体" w:hAnsi="宋体"/>
                <w:szCs w:val="21"/>
              </w:rPr>
            </w:pPr>
            <w:r w:rsidRPr="003A5FD6">
              <w:rPr>
                <w:rFonts w:ascii="宋体" w:hAnsi="宋体"/>
                <w:szCs w:val="21"/>
              </w:rPr>
              <w:t>-7.7055</w:t>
            </w:r>
          </w:p>
        </w:tc>
        <w:tc>
          <w:tcPr>
            <w:tcW w:w="1843" w:type="dxa"/>
            <w:tcBorders>
              <w:left w:val="nil"/>
            </w:tcBorders>
            <w:vAlign w:val="center"/>
          </w:tcPr>
          <w:p w:rsidR="00082806" w:rsidRPr="003A5FD6" w:rsidRDefault="003A5FD6" w:rsidP="003A5FD6">
            <w:pPr>
              <w:autoSpaceDE w:val="0"/>
              <w:autoSpaceDN w:val="0"/>
              <w:adjustRightInd w:val="0"/>
              <w:spacing w:line="360" w:lineRule="auto"/>
              <w:jc w:val="center"/>
              <w:rPr>
                <w:rFonts w:ascii="宋体" w:hAnsi="宋体"/>
                <w:szCs w:val="21"/>
              </w:rPr>
            </w:pPr>
            <w:r w:rsidRPr="003A5FD6">
              <w:rPr>
                <w:rFonts w:ascii="宋体" w:hAnsi="宋体"/>
                <w:szCs w:val="21"/>
              </w:rPr>
              <w:t>0.0000</w:t>
            </w:r>
          </w:p>
        </w:tc>
      </w:tr>
    </w:tbl>
    <w:p w:rsidR="003A5FD6" w:rsidRDefault="007159EC" w:rsidP="009A381A">
      <w:pPr>
        <w:autoSpaceDE w:val="0"/>
        <w:autoSpaceDN w:val="0"/>
        <w:adjustRightInd w:val="0"/>
        <w:spacing w:line="360" w:lineRule="auto"/>
        <w:ind w:firstLineChars="200" w:firstLine="420"/>
        <w:jc w:val="left"/>
        <w:rPr>
          <w:rFonts w:asciiTheme="minorEastAsia" w:hAnsiTheme="minorEastAsia" w:cs="Arial"/>
          <w:color w:val="000000"/>
          <w:kern w:val="0"/>
          <w:szCs w:val="21"/>
        </w:rPr>
      </w:pPr>
      <w:r>
        <w:rPr>
          <w:rFonts w:asciiTheme="minorEastAsia" w:hAnsiTheme="minorEastAsia" w:cs="Arial" w:hint="eastAsia"/>
          <w:color w:val="000000"/>
          <w:kern w:val="0"/>
          <w:szCs w:val="21"/>
        </w:rPr>
        <w:t>数据来源:作者用</w:t>
      </w:r>
      <w:proofErr w:type="spellStart"/>
      <w:r>
        <w:rPr>
          <w:rFonts w:asciiTheme="minorEastAsia" w:hAnsiTheme="minorEastAsia" w:cs="Arial" w:hint="eastAsia"/>
          <w:color w:val="000000"/>
          <w:kern w:val="0"/>
          <w:szCs w:val="21"/>
        </w:rPr>
        <w:t>EV</w:t>
      </w:r>
      <w:r>
        <w:rPr>
          <w:rFonts w:asciiTheme="minorEastAsia" w:hAnsiTheme="minorEastAsia" w:cs="Arial"/>
          <w:color w:val="000000"/>
          <w:kern w:val="0"/>
          <w:szCs w:val="21"/>
        </w:rPr>
        <w:t>iews</w:t>
      </w:r>
      <w:proofErr w:type="spellEnd"/>
      <w:r>
        <w:rPr>
          <w:rFonts w:asciiTheme="minorEastAsia" w:hAnsiTheme="minorEastAsia" w:cs="Arial" w:hint="eastAsia"/>
          <w:color w:val="000000"/>
          <w:kern w:val="0"/>
          <w:szCs w:val="21"/>
        </w:rPr>
        <w:t>软件</w:t>
      </w:r>
      <w:r w:rsidR="00E0393F">
        <w:rPr>
          <w:rFonts w:asciiTheme="minorEastAsia" w:hAnsiTheme="minorEastAsia" w:cs="Arial" w:hint="eastAsia"/>
          <w:color w:val="000000"/>
          <w:kern w:val="0"/>
          <w:szCs w:val="21"/>
        </w:rPr>
        <w:t>检验</w:t>
      </w:r>
      <w:r>
        <w:rPr>
          <w:rFonts w:asciiTheme="minorEastAsia" w:hAnsiTheme="minorEastAsia" w:cs="Arial" w:hint="eastAsia"/>
          <w:color w:val="000000"/>
          <w:kern w:val="0"/>
          <w:szCs w:val="21"/>
        </w:rPr>
        <w:t>得到。</w:t>
      </w:r>
    </w:p>
    <w:p w:rsidR="007159EC" w:rsidRDefault="007159EC" w:rsidP="009A381A">
      <w:pPr>
        <w:autoSpaceDE w:val="0"/>
        <w:autoSpaceDN w:val="0"/>
        <w:adjustRightInd w:val="0"/>
        <w:spacing w:line="360" w:lineRule="auto"/>
        <w:ind w:firstLineChars="200" w:firstLine="420"/>
        <w:jc w:val="left"/>
        <w:rPr>
          <w:rFonts w:asciiTheme="minorEastAsia" w:hAnsiTheme="minorEastAsia" w:cs="Arial"/>
          <w:color w:val="000000"/>
          <w:kern w:val="0"/>
          <w:szCs w:val="21"/>
        </w:rPr>
      </w:pPr>
    </w:p>
    <w:bookmarkEnd w:id="19"/>
    <w:bookmarkEnd w:id="20"/>
    <w:p w:rsidR="004434A9" w:rsidRDefault="004434A9" w:rsidP="004434A9">
      <w:pPr>
        <w:autoSpaceDE w:val="0"/>
        <w:autoSpaceDN w:val="0"/>
        <w:adjustRightInd w:val="0"/>
        <w:spacing w:line="360" w:lineRule="auto"/>
        <w:ind w:firstLineChars="200" w:firstLine="420"/>
        <w:jc w:val="left"/>
        <w:rPr>
          <w:rFonts w:ascii="宋体" w:hAnsi="宋体"/>
        </w:rPr>
      </w:pPr>
      <w:r>
        <w:rPr>
          <w:rFonts w:ascii="宋体" w:hAnsi="宋体" w:hint="eastAsia"/>
        </w:rPr>
        <w:t>进一步进行回归分析，回归分析结果如表2所示。回归结果表明，</w:t>
      </w:r>
      <w:r w:rsidR="00D75EE7">
        <w:rPr>
          <w:rFonts w:ascii="宋体" w:hAnsi="宋体" w:hint="eastAsia"/>
        </w:rPr>
        <w:t>在0.05的显著性水平下，</w:t>
      </w:r>
      <w:r w:rsidRPr="0084204E">
        <w:rPr>
          <w:rFonts w:ascii="宋体" w:hAnsi="宋体" w:hint="eastAsia"/>
        </w:rPr>
        <w:t>散户舆情指数</w:t>
      </w:r>
      <w:r>
        <w:rPr>
          <w:rFonts w:ascii="宋体" w:hAnsi="宋体" w:hint="eastAsia"/>
        </w:rPr>
        <w:t>的当期值和滞后一期值对应的系数统计显著。</w:t>
      </w:r>
      <w:r w:rsidRPr="0084204E">
        <w:rPr>
          <w:rFonts w:ascii="宋体" w:hAnsi="宋体" w:hint="eastAsia"/>
        </w:rPr>
        <w:t>散户舆情指数对上证指数</w:t>
      </w:r>
      <w:r w:rsidR="00CB53B9">
        <w:rPr>
          <w:rFonts w:ascii="宋体" w:hAnsi="宋体" w:hint="eastAsia"/>
        </w:rPr>
        <w:t>超额</w:t>
      </w:r>
      <w:r w:rsidRPr="0084204E">
        <w:rPr>
          <w:rFonts w:ascii="宋体" w:hAnsi="宋体" w:hint="eastAsia"/>
        </w:rPr>
        <w:t>收益率存在显著正的</w:t>
      </w:r>
      <w:r>
        <w:rPr>
          <w:rFonts w:ascii="宋体" w:hAnsi="宋体" w:hint="eastAsia"/>
        </w:rPr>
        <w:t>同期</w:t>
      </w:r>
      <w:r w:rsidRPr="0084204E">
        <w:rPr>
          <w:rFonts w:ascii="宋体" w:hAnsi="宋体" w:hint="eastAsia"/>
        </w:rPr>
        <w:t>影响，而散户舆情指数的滞后一期值对上证指数</w:t>
      </w:r>
      <w:r w:rsidR="00CB53B9">
        <w:rPr>
          <w:rFonts w:ascii="宋体" w:hAnsi="宋体" w:hint="eastAsia"/>
        </w:rPr>
        <w:t>超额</w:t>
      </w:r>
      <w:r w:rsidRPr="0084204E">
        <w:rPr>
          <w:rFonts w:ascii="宋体" w:hAnsi="宋体" w:hint="eastAsia"/>
        </w:rPr>
        <w:t>收益率存在显著负的影响，模型的拟合优度</w:t>
      </w:r>
      <m:oMath>
        <m:sSup>
          <m:sSupPr>
            <m:ctrlPr>
              <w:rPr>
                <w:rFonts w:ascii="Cambria Math" w:hAnsi="Cambria Math"/>
              </w:rPr>
            </m:ctrlPr>
          </m:sSupPr>
          <m:e>
            <m:r>
              <w:rPr>
                <w:rFonts w:ascii="Cambria Math" w:hAnsi="Cambria Math" w:hint="eastAsia"/>
              </w:rPr>
              <m:t>R</m:t>
            </m:r>
          </m:e>
          <m:sup>
            <m:r>
              <w:rPr>
                <w:rFonts w:ascii="Cambria Math" w:hAnsi="Cambria Math" w:hint="eastAsia"/>
              </w:rPr>
              <m:t>2</m:t>
            </m:r>
          </m:sup>
        </m:sSup>
      </m:oMath>
      <w:r w:rsidRPr="0084204E">
        <w:rPr>
          <w:rFonts w:ascii="宋体" w:hAnsi="宋体" w:hint="eastAsia"/>
        </w:rPr>
        <w:t>达到0.76，表明</w:t>
      </w:r>
      <w:r>
        <w:rPr>
          <w:rFonts w:ascii="宋体" w:hAnsi="宋体" w:hint="eastAsia"/>
        </w:rPr>
        <w:t>，</w:t>
      </w:r>
      <w:r w:rsidRPr="0084204E">
        <w:rPr>
          <w:rFonts w:ascii="宋体" w:hAnsi="宋体" w:hint="eastAsia"/>
        </w:rPr>
        <w:t>散户舆情指数</w:t>
      </w:r>
      <w:r>
        <w:rPr>
          <w:rFonts w:ascii="宋体" w:hAnsi="宋体" w:hint="eastAsia"/>
        </w:rPr>
        <w:t>短期</w:t>
      </w:r>
      <w:r w:rsidRPr="0084204E">
        <w:rPr>
          <w:rFonts w:ascii="宋体" w:hAnsi="宋体" w:hint="eastAsia"/>
        </w:rPr>
        <w:t>对上证指数</w:t>
      </w:r>
      <w:r w:rsidR="00CB53B9">
        <w:rPr>
          <w:rFonts w:ascii="宋体" w:hAnsi="宋体" w:hint="eastAsia"/>
        </w:rPr>
        <w:t>超额</w:t>
      </w:r>
      <w:r w:rsidRPr="0084204E">
        <w:rPr>
          <w:rFonts w:ascii="宋体" w:hAnsi="宋体" w:hint="eastAsia"/>
        </w:rPr>
        <w:t>收益率有较高的</w:t>
      </w:r>
      <w:r>
        <w:rPr>
          <w:rFonts w:ascii="宋体" w:hAnsi="宋体" w:hint="eastAsia"/>
        </w:rPr>
        <w:t>预测能力</w:t>
      </w:r>
      <w:r w:rsidRPr="0084204E">
        <w:rPr>
          <w:rFonts w:ascii="宋体" w:hAnsi="宋体" w:hint="eastAsia"/>
        </w:rPr>
        <w:t>。</w:t>
      </w:r>
    </w:p>
    <w:p w:rsidR="007A759D" w:rsidRDefault="007A759D" w:rsidP="004434A9">
      <w:pPr>
        <w:autoSpaceDE w:val="0"/>
        <w:autoSpaceDN w:val="0"/>
        <w:adjustRightInd w:val="0"/>
        <w:spacing w:line="360" w:lineRule="auto"/>
        <w:ind w:firstLineChars="200" w:firstLine="420"/>
        <w:jc w:val="left"/>
        <w:rPr>
          <w:rFonts w:ascii="宋体" w:hAnsi="宋体"/>
        </w:rPr>
      </w:pPr>
    </w:p>
    <w:p w:rsidR="00554D65" w:rsidRPr="00E0393F" w:rsidRDefault="00554D65" w:rsidP="00E0393F">
      <w:pPr>
        <w:autoSpaceDE w:val="0"/>
        <w:autoSpaceDN w:val="0"/>
        <w:adjustRightInd w:val="0"/>
        <w:spacing w:line="360" w:lineRule="auto"/>
        <w:ind w:firstLineChars="200" w:firstLine="422"/>
        <w:jc w:val="center"/>
        <w:rPr>
          <w:rFonts w:ascii="宋体" w:hAnsi="宋体"/>
          <w:b/>
        </w:rPr>
      </w:pPr>
      <w:r w:rsidRPr="00E0393F">
        <w:rPr>
          <w:rFonts w:ascii="宋体" w:hAnsi="宋体" w:hint="eastAsia"/>
          <w:b/>
        </w:rPr>
        <w:t>表2</w:t>
      </w:r>
      <w:r w:rsidR="00E0393F" w:rsidRPr="00E0393F">
        <w:rPr>
          <w:rFonts w:ascii="宋体" w:hAnsi="宋体" w:hint="eastAsia"/>
          <w:b/>
        </w:rPr>
        <w:t xml:space="preserve"> </w:t>
      </w:r>
      <w:r w:rsidRPr="00E0393F">
        <w:rPr>
          <w:rFonts w:ascii="宋体" w:hAnsi="宋体" w:hint="eastAsia"/>
          <w:b/>
        </w:rPr>
        <w:t>回归估计结果</w:t>
      </w:r>
    </w:p>
    <w:tbl>
      <w:tblPr>
        <w:tblStyle w:val="a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30"/>
        <w:gridCol w:w="2130"/>
        <w:gridCol w:w="2131"/>
        <w:gridCol w:w="2131"/>
      </w:tblGrid>
      <w:tr w:rsidR="006E557B" w:rsidTr="00227860">
        <w:tc>
          <w:tcPr>
            <w:tcW w:w="2130" w:type="dxa"/>
            <w:vAlign w:val="center"/>
          </w:tcPr>
          <w:p w:rsidR="006E557B" w:rsidRPr="00566511" w:rsidRDefault="006E557B" w:rsidP="006E557B">
            <w:pPr>
              <w:autoSpaceDE w:val="0"/>
              <w:autoSpaceDN w:val="0"/>
              <w:adjustRightInd w:val="0"/>
              <w:jc w:val="center"/>
              <w:rPr>
                <w:rFonts w:ascii="Arial" w:hAnsi="Arial" w:cs="Arial"/>
                <w:color w:val="000000"/>
                <w:kern w:val="0"/>
                <w:sz w:val="18"/>
                <w:szCs w:val="18"/>
              </w:rPr>
            </w:pPr>
            <w:r>
              <w:rPr>
                <w:rFonts w:ascii="Arial" w:hAnsi="Arial" w:cs="Arial" w:hint="eastAsia"/>
                <w:color w:val="000000"/>
                <w:kern w:val="0"/>
                <w:sz w:val="18"/>
                <w:szCs w:val="18"/>
              </w:rPr>
              <w:t>变量</w:t>
            </w:r>
          </w:p>
        </w:tc>
        <w:tc>
          <w:tcPr>
            <w:tcW w:w="2130" w:type="dxa"/>
            <w:vAlign w:val="center"/>
          </w:tcPr>
          <w:p w:rsidR="006E557B" w:rsidRPr="00566511" w:rsidRDefault="006E557B" w:rsidP="006E557B">
            <w:pPr>
              <w:autoSpaceDE w:val="0"/>
              <w:autoSpaceDN w:val="0"/>
              <w:adjustRightInd w:val="0"/>
              <w:ind w:right="10"/>
              <w:jc w:val="center"/>
              <w:rPr>
                <w:rFonts w:ascii="Arial" w:hAnsi="Arial" w:cs="Arial"/>
                <w:color w:val="000000"/>
                <w:kern w:val="0"/>
                <w:sz w:val="18"/>
                <w:szCs w:val="18"/>
              </w:rPr>
            </w:pPr>
            <w:r>
              <w:rPr>
                <w:rFonts w:ascii="Arial" w:hAnsi="Arial" w:cs="Arial" w:hint="eastAsia"/>
                <w:color w:val="000000"/>
                <w:kern w:val="0"/>
                <w:sz w:val="18"/>
                <w:szCs w:val="18"/>
              </w:rPr>
              <w:t>系数</w:t>
            </w:r>
          </w:p>
        </w:tc>
        <w:tc>
          <w:tcPr>
            <w:tcW w:w="2131" w:type="dxa"/>
            <w:vAlign w:val="center"/>
          </w:tcPr>
          <w:p w:rsidR="006E557B" w:rsidRPr="00566511" w:rsidRDefault="006E557B" w:rsidP="006E557B">
            <w:pPr>
              <w:autoSpaceDE w:val="0"/>
              <w:autoSpaceDN w:val="0"/>
              <w:adjustRightInd w:val="0"/>
              <w:ind w:right="10"/>
              <w:jc w:val="center"/>
              <w:rPr>
                <w:rFonts w:ascii="Arial" w:hAnsi="Arial" w:cs="Arial"/>
                <w:color w:val="000000"/>
                <w:kern w:val="0"/>
                <w:sz w:val="18"/>
                <w:szCs w:val="18"/>
              </w:rPr>
            </w:pPr>
            <w:r w:rsidRPr="00566511">
              <w:rPr>
                <w:rFonts w:ascii="Arial" w:hAnsi="Arial" w:cs="Arial"/>
                <w:color w:val="000000"/>
                <w:kern w:val="0"/>
                <w:sz w:val="18"/>
                <w:szCs w:val="18"/>
              </w:rPr>
              <w:t>t-</w:t>
            </w:r>
            <w:r>
              <w:rPr>
                <w:rFonts w:ascii="Arial" w:hAnsi="Arial" w:cs="Arial" w:hint="eastAsia"/>
                <w:color w:val="000000"/>
                <w:kern w:val="0"/>
                <w:sz w:val="18"/>
                <w:szCs w:val="18"/>
              </w:rPr>
              <w:t>统计量</w:t>
            </w:r>
          </w:p>
        </w:tc>
        <w:tc>
          <w:tcPr>
            <w:tcW w:w="2131" w:type="dxa"/>
            <w:vAlign w:val="center"/>
          </w:tcPr>
          <w:p w:rsidR="006E557B" w:rsidRPr="00566511" w:rsidRDefault="006E557B" w:rsidP="006E557B">
            <w:pPr>
              <w:autoSpaceDE w:val="0"/>
              <w:autoSpaceDN w:val="0"/>
              <w:adjustRightInd w:val="0"/>
              <w:ind w:right="10"/>
              <w:jc w:val="center"/>
              <w:rPr>
                <w:rFonts w:ascii="Arial" w:hAnsi="Arial" w:cs="Arial"/>
                <w:color w:val="000000"/>
                <w:kern w:val="0"/>
                <w:sz w:val="18"/>
                <w:szCs w:val="18"/>
              </w:rPr>
            </w:pPr>
            <w:r w:rsidRPr="00566511">
              <w:rPr>
                <w:rFonts w:ascii="Arial" w:hAnsi="Arial" w:cs="Arial"/>
                <w:color w:val="000000"/>
                <w:kern w:val="0"/>
                <w:sz w:val="18"/>
                <w:szCs w:val="18"/>
              </w:rPr>
              <w:t>P</w:t>
            </w:r>
            <w:r>
              <w:rPr>
                <w:rFonts w:ascii="Arial" w:hAnsi="Arial" w:cs="Arial" w:hint="eastAsia"/>
                <w:color w:val="000000"/>
                <w:kern w:val="0"/>
                <w:sz w:val="18"/>
                <w:szCs w:val="18"/>
              </w:rPr>
              <w:t>值</w:t>
            </w:r>
          </w:p>
        </w:tc>
      </w:tr>
      <w:tr w:rsidR="006E557B" w:rsidTr="00227860">
        <w:tc>
          <w:tcPr>
            <w:tcW w:w="2130" w:type="dxa"/>
            <w:vAlign w:val="center"/>
          </w:tcPr>
          <w:p w:rsidR="006E557B" w:rsidRPr="00566511" w:rsidRDefault="006E557B" w:rsidP="006E557B">
            <w:pPr>
              <w:autoSpaceDE w:val="0"/>
              <w:autoSpaceDN w:val="0"/>
              <w:adjustRightInd w:val="0"/>
              <w:jc w:val="center"/>
              <w:rPr>
                <w:rFonts w:ascii="Arial" w:hAnsi="Arial" w:cs="Arial"/>
                <w:color w:val="000000"/>
                <w:kern w:val="0"/>
                <w:sz w:val="18"/>
                <w:szCs w:val="18"/>
              </w:rPr>
            </w:pPr>
            <w:r>
              <w:rPr>
                <w:rFonts w:ascii="Arial" w:hAnsi="Arial" w:cs="Arial" w:hint="eastAsia"/>
                <w:color w:val="000000"/>
                <w:kern w:val="0"/>
                <w:sz w:val="18"/>
                <w:szCs w:val="18"/>
              </w:rPr>
              <w:t>常数项</w:t>
            </w:r>
          </w:p>
        </w:tc>
        <w:tc>
          <w:tcPr>
            <w:tcW w:w="2130" w:type="dxa"/>
            <w:vAlign w:val="center"/>
          </w:tcPr>
          <w:p w:rsidR="006E557B" w:rsidRPr="00566511" w:rsidRDefault="006E557B" w:rsidP="00227860">
            <w:pPr>
              <w:autoSpaceDE w:val="0"/>
              <w:autoSpaceDN w:val="0"/>
              <w:adjustRightInd w:val="0"/>
              <w:ind w:right="10"/>
              <w:jc w:val="center"/>
              <w:rPr>
                <w:rFonts w:ascii="Arial" w:hAnsi="Arial" w:cs="Arial"/>
                <w:color w:val="000000"/>
                <w:kern w:val="0"/>
                <w:sz w:val="18"/>
                <w:szCs w:val="18"/>
              </w:rPr>
            </w:pPr>
            <w:r w:rsidRPr="00566511">
              <w:rPr>
                <w:rFonts w:ascii="Arial" w:hAnsi="Arial" w:cs="Arial"/>
                <w:color w:val="000000"/>
                <w:kern w:val="0"/>
                <w:sz w:val="18"/>
                <w:szCs w:val="18"/>
              </w:rPr>
              <w:t>0.2587</w:t>
            </w:r>
          </w:p>
        </w:tc>
        <w:tc>
          <w:tcPr>
            <w:tcW w:w="2131" w:type="dxa"/>
            <w:vAlign w:val="center"/>
          </w:tcPr>
          <w:p w:rsidR="006E557B" w:rsidRPr="00566511" w:rsidRDefault="006E557B" w:rsidP="006E557B">
            <w:pPr>
              <w:autoSpaceDE w:val="0"/>
              <w:autoSpaceDN w:val="0"/>
              <w:adjustRightInd w:val="0"/>
              <w:ind w:right="10"/>
              <w:jc w:val="center"/>
              <w:rPr>
                <w:rFonts w:ascii="Arial" w:hAnsi="Arial" w:cs="Arial"/>
                <w:color w:val="000000"/>
                <w:kern w:val="0"/>
                <w:sz w:val="18"/>
                <w:szCs w:val="18"/>
              </w:rPr>
            </w:pPr>
            <w:r w:rsidRPr="00566511">
              <w:rPr>
                <w:rFonts w:ascii="Arial" w:hAnsi="Arial" w:cs="Arial"/>
                <w:color w:val="000000"/>
                <w:kern w:val="0"/>
                <w:sz w:val="18"/>
                <w:szCs w:val="18"/>
              </w:rPr>
              <w:t>6.533</w:t>
            </w:r>
            <w:r w:rsidR="00227860">
              <w:rPr>
                <w:rFonts w:ascii="Arial" w:hAnsi="Arial" w:cs="Arial" w:hint="eastAsia"/>
                <w:color w:val="000000"/>
                <w:kern w:val="0"/>
                <w:sz w:val="18"/>
                <w:szCs w:val="18"/>
              </w:rPr>
              <w:t>1</w:t>
            </w:r>
          </w:p>
        </w:tc>
        <w:tc>
          <w:tcPr>
            <w:tcW w:w="2131" w:type="dxa"/>
            <w:vAlign w:val="center"/>
          </w:tcPr>
          <w:p w:rsidR="006E557B" w:rsidRPr="00566511" w:rsidRDefault="006E557B" w:rsidP="006E557B">
            <w:pPr>
              <w:autoSpaceDE w:val="0"/>
              <w:autoSpaceDN w:val="0"/>
              <w:adjustRightInd w:val="0"/>
              <w:ind w:right="10"/>
              <w:jc w:val="center"/>
              <w:rPr>
                <w:rFonts w:ascii="Arial" w:hAnsi="Arial" w:cs="Arial"/>
                <w:color w:val="000000"/>
                <w:kern w:val="0"/>
                <w:sz w:val="18"/>
                <w:szCs w:val="18"/>
              </w:rPr>
            </w:pPr>
            <w:r w:rsidRPr="00566511">
              <w:rPr>
                <w:rFonts w:ascii="Arial" w:hAnsi="Arial" w:cs="Arial"/>
                <w:color w:val="000000"/>
                <w:kern w:val="0"/>
                <w:sz w:val="18"/>
                <w:szCs w:val="18"/>
              </w:rPr>
              <w:t>0.0000</w:t>
            </w:r>
          </w:p>
        </w:tc>
      </w:tr>
      <w:tr w:rsidR="006E557B" w:rsidTr="00227860">
        <w:tc>
          <w:tcPr>
            <w:tcW w:w="2130" w:type="dxa"/>
            <w:vAlign w:val="center"/>
          </w:tcPr>
          <w:p w:rsidR="006E557B" w:rsidRPr="00566511" w:rsidRDefault="00792393" w:rsidP="006E557B">
            <w:pPr>
              <w:autoSpaceDE w:val="0"/>
              <w:autoSpaceDN w:val="0"/>
              <w:adjustRightInd w:val="0"/>
              <w:jc w:val="center"/>
              <w:rPr>
                <w:rFonts w:ascii="Arial" w:hAnsi="Arial" w:cs="Arial"/>
                <w:color w:val="000000"/>
                <w:kern w:val="0"/>
                <w:sz w:val="18"/>
                <w:szCs w:val="18"/>
              </w:rPr>
            </w:pPr>
            <m:oMathPara>
              <m:oMath>
                <m:sSub>
                  <m:sSubPr>
                    <m:ctrlPr>
                      <w:rPr>
                        <w:rFonts w:ascii="Cambria Math" w:hAnsi="Cambria Math" w:cs="Arial"/>
                        <w:i/>
                        <w:color w:val="000000"/>
                        <w:kern w:val="0"/>
                        <w:sz w:val="18"/>
                        <w:szCs w:val="18"/>
                      </w:rPr>
                    </m:ctrlPr>
                  </m:sSubPr>
                  <m:e>
                    <m:r>
                      <w:rPr>
                        <w:rFonts w:ascii="Cambria Math" w:hAnsi="Cambria Math" w:cs="Arial"/>
                        <w:color w:val="000000"/>
                        <w:kern w:val="0"/>
                        <w:sz w:val="18"/>
                        <w:szCs w:val="18"/>
                      </w:rPr>
                      <m:t>SENT</m:t>
                    </m:r>
                  </m:e>
                  <m:sub>
                    <m:r>
                      <w:rPr>
                        <w:rFonts w:ascii="Cambria Math" w:hAnsi="Cambria Math" w:cs="Arial"/>
                        <w:color w:val="000000"/>
                        <w:kern w:val="0"/>
                        <w:sz w:val="18"/>
                        <w:szCs w:val="18"/>
                      </w:rPr>
                      <m:t>t</m:t>
                    </m:r>
                  </m:sub>
                </m:sSub>
              </m:oMath>
            </m:oMathPara>
          </w:p>
        </w:tc>
        <w:tc>
          <w:tcPr>
            <w:tcW w:w="2130" w:type="dxa"/>
            <w:vAlign w:val="center"/>
          </w:tcPr>
          <w:p w:rsidR="006E557B" w:rsidRPr="00566511" w:rsidRDefault="006E557B" w:rsidP="00227860">
            <w:pPr>
              <w:autoSpaceDE w:val="0"/>
              <w:autoSpaceDN w:val="0"/>
              <w:adjustRightInd w:val="0"/>
              <w:ind w:right="10"/>
              <w:jc w:val="center"/>
              <w:rPr>
                <w:rFonts w:ascii="Arial" w:hAnsi="Arial" w:cs="Arial"/>
                <w:color w:val="000000"/>
                <w:kern w:val="0"/>
                <w:sz w:val="18"/>
                <w:szCs w:val="18"/>
              </w:rPr>
            </w:pPr>
            <w:r w:rsidRPr="00566511">
              <w:rPr>
                <w:rFonts w:ascii="Arial" w:hAnsi="Arial" w:cs="Arial"/>
                <w:color w:val="000000"/>
                <w:kern w:val="0"/>
                <w:sz w:val="18"/>
                <w:szCs w:val="18"/>
              </w:rPr>
              <w:t>0.0026</w:t>
            </w:r>
          </w:p>
        </w:tc>
        <w:tc>
          <w:tcPr>
            <w:tcW w:w="2131" w:type="dxa"/>
            <w:vAlign w:val="center"/>
          </w:tcPr>
          <w:p w:rsidR="006E557B" w:rsidRPr="00566511" w:rsidRDefault="006E557B" w:rsidP="00227860">
            <w:pPr>
              <w:autoSpaceDE w:val="0"/>
              <w:autoSpaceDN w:val="0"/>
              <w:adjustRightInd w:val="0"/>
              <w:ind w:right="10"/>
              <w:jc w:val="center"/>
              <w:rPr>
                <w:rFonts w:ascii="Arial" w:hAnsi="Arial" w:cs="Arial"/>
                <w:color w:val="000000"/>
                <w:kern w:val="0"/>
                <w:sz w:val="18"/>
                <w:szCs w:val="18"/>
              </w:rPr>
            </w:pPr>
            <w:r w:rsidRPr="00566511">
              <w:rPr>
                <w:rFonts w:ascii="Arial" w:hAnsi="Arial" w:cs="Arial"/>
                <w:color w:val="000000"/>
                <w:kern w:val="0"/>
                <w:sz w:val="18"/>
                <w:szCs w:val="18"/>
              </w:rPr>
              <w:t>9.7336</w:t>
            </w:r>
          </w:p>
        </w:tc>
        <w:tc>
          <w:tcPr>
            <w:tcW w:w="2131" w:type="dxa"/>
            <w:vAlign w:val="center"/>
          </w:tcPr>
          <w:p w:rsidR="006E557B" w:rsidRPr="00566511" w:rsidRDefault="006E557B" w:rsidP="006E557B">
            <w:pPr>
              <w:autoSpaceDE w:val="0"/>
              <w:autoSpaceDN w:val="0"/>
              <w:adjustRightInd w:val="0"/>
              <w:ind w:right="10"/>
              <w:jc w:val="center"/>
              <w:rPr>
                <w:rFonts w:ascii="Arial" w:hAnsi="Arial" w:cs="Arial"/>
                <w:color w:val="000000"/>
                <w:kern w:val="0"/>
                <w:sz w:val="18"/>
                <w:szCs w:val="18"/>
              </w:rPr>
            </w:pPr>
            <w:r w:rsidRPr="00566511">
              <w:rPr>
                <w:rFonts w:ascii="Arial" w:hAnsi="Arial" w:cs="Arial"/>
                <w:color w:val="000000"/>
                <w:kern w:val="0"/>
                <w:sz w:val="18"/>
                <w:szCs w:val="18"/>
              </w:rPr>
              <w:t>0.0000</w:t>
            </w:r>
          </w:p>
        </w:tc>
      </w:tr>
      <w:tr w:rsidR="006E557B" w:rsidTr="00227860">
        <w:tc>
          <w:tcPr>
            <w:tcW w:w="2130" w:type="dxa"/>
            <w:vAlign w:val="center"/>
          </w:tcPr>
          <w:p w:rsidR="006E557B" w:rsidRPr="00566511" w:rsidRDefault="00792393" w:rsidP="006E557B">
            <w:pPr>
              <w:autoSpaceDE w:val="0"/>
              <w:autoSpaceDN w:val="0"/>
              <w:adjustRightInd w:val="0"/>
              <w:jc w:val="center"/>
              <w:rPr>
                <w:rFonts w:ascii="Arial" w:hAnsi="Arial" w:cs="Arial"/>
                <w:color w:val="000000"/>
                <w:kern w:val="0"/>
                <w:sz w:val="18"/>
                <w:szCs w:val="18"/>
              </w:rPr>
            </w:pPr>
            <m:oMathPara>
              <m:oMath>
                <m:sSub>
                  <m:sSubPr>
                    <m:ctrlPr>
                      <w:rPr>
                        <w:rFonts w:ascii="Cambria Math" w:hAnsi="Cambria Math" w:cs="Arial"/>
                        <w:i/>
                        <w:color w:val="000000"/>
                        <w:kern w:val="0"/>
                        <w:sz w:val="18"/>
                        <w:szCs w:val="18"/>
                      </w:rPr>
                    </m:ctrlPr>
                  </m:sSubPr>
                  <m:e>
                    <m:r>
                      <w:rPr>
                        <w:rFonts w:ascii="Cambria Math" w:hAnsi="Cambria Math" w:cs="Arial"/>
                        <w:color w:val="000000"/>
                        <w:kern w:val="0"/>
                        <w:sz w:val="18"/>
                        <w:szCs w:val="18"/>
                      </w:rPr>
                      <m:t>SENT</m:t>
                    </m:r>
                  </m:e>
                  <m:sub>
                    <m:r>
                      <w:rPr>
                        <w:rFonts w:ascii="Cambria Math" w:hAnsi="Cambria Math" w:cs="Arial"/>
                        <w:color w:val="000000"/>
                        <w:kern w:val="0"/>
                        <w:sz w:val="18"/>
                        <w:szCs w:val="18"/>
                      </w:rPr>
                      <m:t>t-</m:t>
                    </m:r>
                    <m:r>
                      <w:rPr>
                        <w:rFonts w:ascii="Cambria Math" w:hAnsi="Cambria Math" w:cs="Arial" w:hint="eastAsia"/>
                        <w:color w:val="000000"/>
                        <w:kern w:val="0"/>
                        <w:sz w:val="18"/>
                        <w:szCs w:val="18"/>
                      </w:rPr>
                      <m:t>1</m:t>
                    </m:r>
                  </m:sub>
                </m:sSub>
              </m:oMath>
            </m:oMathPara>
          </w:p>
        </w:tc>
        <w:tc>
          <w:tcPr>
            <w:tcW w:w="2130" w:type="dxa"/>
            <w:vAlign w:val="center"/>
          </w:tcPr>
          <w:p w:rsidR="006E557B" w:rsidRPr="00566511" w:rsidRDefault="006E557B" w:rsidP="00227860">
            <w:pPr>
              <w:autoSpaceDE w:val="0"/>
              <w:autoSpaceDN w:val="0"/>
              <w:adjustRightInd w:val="0"/>
              <w:ind w:right="10"/>
              <w:jc w:val="center"/>
              <w:rPr>
                <w:rFonts w:ascii="Arial" w:hAnsi="Arial" w:cs="Arial"/>
                <w:color w:val="000000"/>
                <w:kern w:val="0"/>
                <w:sz w:val="18"/>
                <w:szCs w:val="18"/>
              </w:rPr>
            </w:pPr>
            <w:r w:rsidRPr="00566511">
              <w:rPr>
                <w:rFonts w:ascii="Arial" w:hAnsi="Arial" w:cs="Arial"/>
                <w:color w:val="000000"/>
                <w:kern w:val="0"/>
                <w:sz w:val="18"/>
                <w:szCs w:val="18"/>
              </w:rPr>
              <w:t>-0.0009</w:t>
            </w:r>
          </w:p>
        </w:tc>
        <w:tc>
          <w:tcPr>
            <w:tcW w:w="2131" w:type="dxa"/>
            <w:vAlign w:val="center"/>
          </w:tcPr>
          <w:p w:rsidR="006E557B" w:rsidRPr="00566511" w:rsidRDefault="006E557B" w:rsidP="00227860">
            <w:pPr>
              <w:autoSpaceDE w:val="0"/>
              <w:autoSpaceDN w:val="0"/>
              <w:adjustRightInd w:val="0"/>
              <w:ind w:right="10"/>
              <w:jc w:val="center"/>
              <w:rPr>
                <w:rFonts w:ascii="Arial" w:hAnsi="Arial" w:cs="Arial"/>
                <w:color w:val="000000"/>
                <w:kern w:val="0"/>
                <w:sz w:val="18"/>
                <w:szCs w:val="18"/>
              </w:rPr>
            </w:pPr>
            <w:r w:rsidRPr="00566511">
              <w:rPr>
                <w:rFonts w:ascii="Arial" w:hAnsi="Arial" w:cs="Arial"/>
                <w:color w:val="000000"/>
                <w:kern w:val="0"/>
                <w:sz w:val="18"/>
                <w:szCs w:val="18"/>
              </w:rPr>
              <w:t>-6.314</w:t>
            </w:r>
            <w:r w:rsidR="00227860">
              <w:rPr>
                <w:rFonts w:ascii="Arial" w:hAnsi="Arial" w:cs="Arial" w:hint="eastAsia"/>
                <w:color w:val="000000"/>
                <w:kern w:val="0"/>
                <w:sz w:val="18"/>
                <w:szCs w:val="18"/>
              </w:rPr>
              <w:t>7</w:t>
            </w:r>
          </w:p>
        </w:tc>
        <w:tc>
          <w:tcPr>
            <w:tcW w:w="2131" w:type="dxa"/>
            <w:vAlign w:val="center"/>
          </w:tcPr>
          <w:p w:rsidR="006E557B" w:rsidRPr="00566511" w:rsidRDefault="006E557B" w:rsidP="006E557B">
            <w:pPr>
              <w:autoSpaceDE w:val="0"/>
              <w:autoSpaceDN w:val="0"/>
              <w:adjustRightInd w:val="0"/>
              <w:ind w:right="10"/>
              <w:jc w:val="center"/>
              <w:rPr>
                <w:rFonts w:ascii="Arial" w:hAnsi="Arial" w:cs="Arial"/>
                <w:color w:val="000000"/>
                <w:kern w:val="0"/>
                <w:sz w:val="18"/>
                <w:szCs w:val="18"/>
              </w:rPr>
            </w:pPr>
            <w:r w:rsidRPr="00566511">
              <w:rPr>
                <w:rFonts w:ascii="Arial" w:hAnsi="Arial" w:cs="Arial"/>
                <w:color w:val="000000"/>
                <w:kern w:val="0"/>
                <w:sz w:val="18"/>
                <w:szCs w:val="18"/>
              </w:rPr>
              <w:t>0.0000</w:t>
            </w:r>
          </w:p>
        </w:tc>
      </w:tr>
      <w:tr w:rsidR="00227860" w:rsidTr="00227860">
        <w:tc>
          <w:tcPr>
            <w:tcW w:w="4260" w:type="dxa"/>
            <w:gridSpan w:val="2"/>
            <w:vAlign w:val="center"/>
          </w:tcPr>
          <w:p w:rsidR="00227860" w:rsidRPr="00566511" w:rsidRDefault="00792393" w:rsidP="005D769E">
            <w:pPr>
              <w:autoSpaceDE w:val="0"/>
              <w:autoSpaceDN w:val="0"/>
              <w:adjustRightInd w:val="0"/>
              <w:ind w:firstLineChars="300" w:firstLine="540"/>
              <w:rPr>
                <w:rFonts w:ascii="Arial" w:hAnsi="Arial" w:cs="Arial"/>
                <w:color w:val="000000"/>
                <w:kern w:val="0"/>
                <w:sz w:val="18"/>
                <w:szCs w:val="18"/>
              </w:rPr>
            </w:pPr>
            <m:oMath>
              <m:sSup>
                <m:sSupPr>
                  <m:ctrlPr>
                    <w:rPr>
                      <w:rFonts w:ascii="Cambria Math" w:hAnsi="Cambria Math" w:cs="Arial"/>
                      <w:color w:val="000000"/>
                      <w:kern w:val="0"/>
                      <w:sz w:val="18"/>
                      <w:szCs w:val="18"/>
                    </w:rPr>
                  </m:ctrlPr>
                </m:sSupPr>
                <m:e>
                  <m:r>
                    <w:rPr>
                      <w:rFonts w:ascii="Cambria Math" w:hAnsi="Cambria Math" w:cs="Arial" w:hint="eastAsia"/>
                      <w:color w:val="000000"/>
                      <w:kern w:val="0"/>
                      <w:sz w:val="18"/>
                      <w:szCs w:val="18"/>
                    </w:rPr>
                    <m:t>R</m:t>
                  </m:r>
                </m:e>
                <m:sup>
                  <m:r>
                    <w:rPr>
                      <w:rFonts w:ascii="Cambria Math" w:hAnsi="Cambria Math" w:cs="Arial" w:hint="eastAsia"/>
                      <w:color w:val="000000"/>
                      <w:kern w:val="0"/>
                      <w:sz w:val="18"/>
                      <w:szCs w:val="18"/>
                    </w:rPr>
                    <m:t>2</m:t>
                  </m:r>
                </m:sup>
              </m:sSup>
            </m:oMath>
            <w:r w:rsidR="00227860">
              <w:rPr>
                <w:rFonts w:ascii="Arial" w:hAnsi="Arial" w:cs="Arial" w:hint="eastAsia"/>
                <w:color w:val="000000"/>
                <w:kern w:val="0"/>
                <w:sz w:val="18"/>
                <w:szCs w:val="18"/>
              </w:rPr>
              <w:t>=</w:t>
            </w:r>
            <w:r w:rsidR="00227860" w:rsidRPr="00566511">
              <w:rPr>
                <w:rFonts w:ascii="Arial" w:hAnsi="Arial" w:cs="Arial"/>
                <w:color w:val="000000"/>
                <w:kern w:val="0"/>
                <w:sz w:val="18"/>
                <w:szCs w:val="18"/>
              </w:rPr>
              <w:t>0.76</w:t>
            </w:r>
          </w:p>
        </w:tc>
        <w:tc>
          <w:tcPr>
            <w:tcW w:w="2131" w:type="dxa"/>
            <w:vAlign w:val="center"/>
          </w:tcPr>
          <w:p w:rsidR="00227860" w:rsidRDefault="00227860" w:rsidP="006E557B">
            <w:pPr>
              <w:autoSpaceDE w:val="0"/>
              <w:autoSpaceDN w:val="0"/>
              <w:adjustRightInd w:val="0"/>
              <w:spacing w:line="360" w:lineRule="auto"/>
              <w:jc w:val="center"/>
              <w:rPr>
                <w:rFonts w:ascii="宋体" w:hAnsi="宋体"/>
              </w:rPr>
            </w:pPr>
          </w:p>
        </w:tc>
        <w:tc>
          <w:tcPr>
            <w:tcW w:w="2131" w:type="dxa"/>
            <w:vAlign w:val="center"/>
          </w:tcPr>
          <w:p w:rsidR="00227860" w:rsidRDefault="00227860" w:rsidP="006E557B">
            <w:pPr>
              <w:autoSpaceDE w:val="0"/>
              <w:autoSpaceDN w:val="0"/>
              <w:adjustRightInd w:val="0"/>
              <w:spacing w:line="360" w:lineRule="auto"/>
              <w:jc w:val="center"/>
              <w:rPr>
                <w:rFonts w:ascii="宋体" w:hAnsi="宋体"/>
              </w:rPr>
            </w:pPr>
          </w:p>
        </w:tc>
      </w:tr>
    </w:tbl>
    <w:p w:rsidR="006E557B" w:rsidRDefault="007159EC" w:rsidP="00554D65">
      <w:pPr>
        <w:autoSpaceDE w:val="0"/>
        <w:autoSpaceDN w:val="0"/>
        <w:adjustRightInd w:val="0"/>
        <w:spacing w:line="360" w:lineRule="auto"/>
        <w:ind w:firstLineChars="200" w:firstLine="420"/>
        <w:jc w:val="left"/>
        <w:rPr>
          <w:rFonts w:ascii="宋体" w:hAnsi="宋体"/>
        </w:rPr>
      </w:pPr>
      <w:r>
        <w:rPr>
          <w:rFonts w:ascii="宋体" w:hAnsi="宋体" w:hint="eastAsia"/>
        </w:rPr>
        <w:t>表注：显著性水平取值为0.05。</w:t>
      </w:r>
    </w:p>
    <w:p w:rsidR="009C599F" w:rsidRDefault="00AE483C" w:rsidP="00AE483C">
      <w:pPr>
        <w:pStyle w:val="1"/>
      </w:pPr>
      <w:r>
        <w:rPr>
          <w:rFonts w:hint="eastAsia"/>
        </w:rPr>
        <w:t xml:space="preserve">4 </w:t>
      </w:r>
      <w:r w:rsidR="009C599F">
        <w:rPr>
          <w:rFonts w:hint="eastAsia"/>
        </w:rPr>
        <w:t>研究结论</w:t>
      </w:r>
    </w:p>
    <w:p w:rsidR="002D483B" w:rsidRDefault="00433E81" w:rsidP="002D483B">
      <w:pPr>
        <w:autoSpaceDE w:val="0"/>
        <w:autoSpaceDN w:val="0"/>
        <w:adjustRightInd w:val="0"/>
        <w:spacing w:line="360" w:lineRule="auto"/>
        <w:ind w:firstLineChars="200" w:firstLine="420"/>
        <w:jc w:val="left"/>
        <w:rPr>
          <w:rFonts w:ascii="宋体" w:hAnsi="宋体"/>
        </w:rPr>
      </w:pPr>
      <w:r>
        <w:rPr>
          <w:rFonts w:ascii="宋体" w:hAnsi="宋体" w:hint="eastAsia"/>
        </w:rPr>
        <w:t>本文</w:t>
      </w:r>
      <w:r w:rsidRPr="0084204E">
        <w:rPr>
          <w:rFonts w:ascii="宋体" w:hAnsi="宋体" w:hint="eastAsia"/>
        </w:rPr>
        <w:t>对</w:t>
      </w:r>
      <w:r>
        <w:rPr>
          <w:rFonts w:ascii="宋体" w:hAnsi="宋体" w:hint="eastAsia"/>
        </w:rPr>
        <w:t>新构造的投资者情绪指数-</w:t>
      </w:r>
      <w:r w:rsidRPr="0084204E">
        <w:rPr>
          <w:rFonts w:ascii="宋体" w:hAnsi="宋体" w:hint="eastAsia"/>
        </w:rPr>
        <w:t>散户舆情指数</w:t>
      </w:r>
      <w:r>
        <w:rPr>
          <w:rFonts w:ascii="宋体" w:hAnsi="宋体" w:hint="eastAsia"/>
        </w:rPr>
        <w:t>的</w:t>
      </w:r>
      <w:r w:rsidRPr="0084204E">
        <w:rPr>
          <w:rFonts w:ascii="宋体" w:hAnsi="宋体" w:hint="eastAsia"/>
        </w:rPr>
        <w:t>有效性进行初步评估。</w:t>
      </w:r>
      <w:r w:rsidR="003B28BB">
        <w:rPr>
          <w:rFonts w:ascii="宋体" w:hAnsi="宋体" w:hint="eastAsia"/>
        </w:rPr>
        <w:t>研究发现</w:t>
      </w:r>
      <w:r w:rsidR="00AA4EE5">
        <w:rPr>
          <w:rFonts w:ascii="宋体" w:hAnsi="宋体" w:hint="eastAsia"/>
        </w:rPr>
        <w:t>，</w:t>
      </w:r>
      <w:r w:rsidR="00F54566">
        <w:rPr>
          <w:rFonts w:ascii="宋体" w:hAnsi="宋体" w:hint="eastAsia"/>
        </w:rPr>
        <w:t>首先，</w:t>
      </w:r>
      <w:r w:rsidR="00AA4EE5" w:rsidRPr="00BF121E">
        <w:rPr>
          <w:rFonts w:ascii="宋体" w:hAnsi="宋体" w:hint="eastAsia"/>
        </w:rPr>
        <w:t>上证指数收益率和散户舆情指数的相关系数高达</w:t>
      </w:r>
      <w:r w:rsidR="00AA4EE5" w:rsidRPr="00BF121E">
        <w:rPr>
          <w:rFonts w:ascii="宋体" w:hAnsi="宋体"/>
        </w:rPr>
        <w:t>0.81</w:t>
      </w:r>
      <w:r w:rsidR="00AA4EE5" w:rsidRPr="00BF121E">
        <w:rPr>
          <w:rFonts w:ascii="宋体" w:hAnsi="宋体" w:hint="eastAsia"/>
        </w:rPr>
        <w:t>，表明散户舆情指数能够较好</w:t>
      </w:r>
      <w:r w:rsidR="00F54566">
        <w:rPr>
          <w:rFonts w:ascii="宋体" w:hAnsi="宋体" w:hint="eastAsia"/>
        </w:rPr>
        <w:t>地刻</w:t>
      </w:r>
      <w:r w:rsidR="00F54566">
        <w:rPr>
          <w:rFonts w:ascii="宋体" w:hAnsi="宋体" w:hint="eastAsia"/>
        </w:rPr>
        <w:lastRenderedPageBreak/>
        <w:t>画散户投资者针对上证指数收益率（涨跌幅率）所表现出来的情绪；其次，</w:t>
      </w:r>
      <w:r w:rsidR="00F54566" w:rsidRPr="0084204E">
        <w:rPr>
          <w:rFonts w:ascii="宋体" w:hAnsi="宋体" w:hint="eastAsia"/>
        </w:rPr>
        <w:t>散户舆情指数对上证指数</w:t>
      </w:r>
      <w:r w:rsidR="00C91A22">
        <w:rPr>
          <w:rFonts w:ascii="宋体" w:hAnsi="宋体" w:hint="eastAsia"/>
        </w:rPr>
        <w:t>超额</w:t>
      </w:r>
      <w:r w:rsidR="00F54566" w:rsidRPr="0084204E">
        <w:rPr>
          <w:rFonts w:ascii="宋体" w:hAnsi="宋体" w:hint="eastAsia"/>
        </w:rPr>
        <w:t>收益率存在显著正的</w:t>
      </w:r>
      <w:r w:rsidR="00F54566">
        <w:rPr>
          <w:rFonts w:ascii="宋体" w:hAnsi="宋体" w:hint="eastAsia"/>
        </w:rPr>
        <w:t>同期</w:t>
      </w:r>
      <w:r w:rsidR="00F54566" w:rsidRPr="0084204E">
        <w:rPr>
          <w:rFonts w:ascii="宋体" w:hAnsi="宋体" w:hint="eastAsia"/>
        </w:rPr>
        <w:t>影响，散户舆情指数的滞后一期值对上证指数</w:t>
      </w:r>
      <w:r w:rsidR="00C91A22">
        <w:rPr>
          <w:rFonts w:ascii="宋体" w:hAnsi="宋体" w:hint="eastAsia"/>
        </w:rPr>
        <w:t>超额</w:t>
      </w:r>
      <w:r w:rsidR="00F54566" w:rsidRPr="0084204E">
        <w:rPr>
          <w:rFonts w:ascii="宋体" w:hAnsi="宋体" w:hint="eastAsia"/>
        </w:rPr>
        <w:t>收益率存在显著负的影响，模型的拟合优度</w:t>
      </w:r>
      <m:oMath>
        <m:sSup>
          <m:sSupPr>
            <m:ctrlPr>
              <w:rPr>
                <w:rFonts w:ascii="Cambria Math" w:hAnsi="Cambria Math"/>
              </w:rPr>
            </m:ctrlPr>
          </m:sSupPr>
          <m:e>
            <m:r>
              <w:rPr>
                <w:rFonts w:ascii="Cambria Math" w:hAnsi="Cambria Math" w:hint="eastAsia"/>
              </w:rPr>
              <m:t>R</m:t>
            </m:r>
          </m:e>
          <m:sup>
            <m:r>
              <w:rPr>
                <w:rFonts w:ascii="Cambria Math" w:hAnsi="Cambria Math" w:hint="eastAsia"/>
              </w:rPr>
              <m:t>2</m:t>
            </m:r>
          </m:sup>
        </m:sSup>
      </m:oMath>
      <w:r w:rsidR="00F54566" w:rsidRPr="0084204E">
        <w:rPr>
          <w:rFonts w:ascii="宋体" w:hAnsi="宋体" w:hint="eastAsia"/>
        </w:rPr>
        <w:t>达到0.76，表明散户舆情指数</w:t>
      </w:r>
      <w:r w:rsidR="00F54566">
        <w:rPr>
          <w:rFonts w:ascii="宋体" w:hAnsi="宋体" w:hint="eastAsia"/>
        </w:rPr>
        <w:t>短期</w:t>
      </w:r>
      <w:r w:rsidR="00F54566" w:rsidRPr="0084204E">
        <w:rPr>
          <w:rFonts w:ascii="宋体" w:hAnsi="宋体" w:hint="eastAsia"/>
        </w:rPr>
        <w:t>对上证指数</w:t>
      </w:r>
      <w:r w:rsidR="00C91A22">
        <w:rPr>
          <w:rFonts w:ascii="宋体" w:hAnsi="宋体" w:hint="eastAsia"/>
        </w:rPr>
        <w:t>超额</w:t>
      </w:r>
      <w:r w:rsidR="00F54566" w:rsidRPr="0084204E">
        <w:rPr>
          <w:rFonts w:ascii="宋体" w:hAnsi="宋体" w:hint="eastAsia"/>
        </w:rPr>
        <w:t>收益率有较高的</w:t>
      </w:r>
      <w:r w:rsidR="00F54566">
        <w:rPr>
          <w:rFonts w:ascii="宋体" w:hAnsi="宋体" w:hint="eastAsia"/>
        </w:rPr>
        <w:t>预测能力</w:t>
      </w:r>
      <w:r w:rsidR="00F54566" w:rsidRPr="0084204E">
        <w:rPr>
          <w:rFonts w:ascii="宋体" w:hAnsi="宋体" w:hint="eastAsia"/>
        </w:rPr>
        <w:t>。</w:t>
      </w:r>
    </w:p>
    <w:p w:rsidR="002D483B" w:rsidRPr="0084204E" w:rsidRDefault="00F54566" w:rsidP="002D483B">
      <w:pPr>
        <w:autoSpaceDE w:val="0"/>
        <w:autoSpaceDN w:val="0"/>
        <w:adjustRightInd w:val="0"/>
        <w:spacing w:line="360" w:lineRule="auto"/>
        <w:ind w:firstLineChars="200" w:firstLine="420"/>
        <w:jc w:val="left"/>
        <w:rPr>
          <w:rFonts w:ascii="宋体" w:hAnsi="宋体"/>
        </w:rPr>
      </w:pPr>
      <w:r>
        <w:rPr>
          <w:rFonts w:ascii="宋体" w:hAnsi="宋体" w:hint="eastAsia"/>
        </w:rPr>
        <w:t>以上研究表明，上海师范大学商学院</w:t>
      </w:r>
      <w:r w:rsidRPr="0084204E">
        <w:rPr>
          <w:rFonts w:ascii="宋体" w:hAnsi="宋体" w:hint="eastAsia"/>
        </w:rPr>
        <w:t>新推出的散户舆情指数</w:t>
      </w:r>
      <w:r>
        <w:rPr>
          <w:rFonts w:ascii="宋体" w:hAnsi="宋体" w:hint="eastAsia"/>
        </w:rPr>
        <w:t>在刻画散户投资者情绪方面有较高的有效性，对</w:t>
      </w:r>
      <w:r w:rsidRPr="0084204E">
        <w:rPr>
          <w:rFonts w:ascii="宋体" w:hAnsi="宋体" w:hint="eastAsia"/>
        </w:rPr>
        <w:t>上证指数</w:t>
      </w:r>
      <w:r>
        <w:rPr>
          <w:rFonts w:ascii="宋体" w:hAnsi="宋体" w:hint="eastAsia"/>
        </w:rPr>
        <w:t>超额</w:t>
      </w:r>
      <w:r w:rsidRPr="0084204E">
        <w:rPr>
          <w:rFonts w:ascii="宋体" w:hAnsi="宋体" w:hint="eastAsia"/>
        </w:rPr>
        <w:t>收益率</w:t>
      </w:r>
      <w:r>
        <w:rPr>
          <w:rFonts w:ascii="宋体" w:hAnsi="宋体" w:hint="eastAsia"/>
        </w:rPr>
        <w:t>有一定的短期预测能力。</w:t>
      </w:r>
      <w:r w:rsidR="002D483B" w:rsidRPr="0084204E">
        <w:rPr>
          <w:rFonts w:ascii="宋体" w:hAnsi="宋体" w:hint="eastAsia"/>
        </w:rPr>
        <w:t>散户舆情指数滞后一期值对应的系数</w:t>
      </w:r>
      <w:r w:rsidR="002D483B">
        <w:rPr>
          <w:rFonts w:ascii="宋体" w:hAnsi="宋体" w:hint="eastAsia"/>
        </w:rPr>
        <w:t>显著</w:t>
      </w:r>
      <w:r w:rsidR="002D483B" w:rsidRPr="0084204E">
        <w:rPr>
          <w:rFonts w:ascii="宋体" w:hAnsi="宋体" w:hint="eastAsia"/>
        </w:rPr>
        <w:t>为负，</w:t>
      </w:r>
      <w:r w:rsidR="002D483B">
        <w:rPr>
          <w:rFonts w:ascii="宋体" w:hAnsi="宋体" w:hint="eastAsia"/>
        </w:rPr>
        <w:t>也</w:t>
      </w:r>
      <w:r w:rsidR="002D483B" w:rsidRPr="0084204E">
        <w:rPr>
          <w:rFonts w:ascii="宋体" w:hAnsi="宋体" w:hint="eastAsia"/>
        </w:rPr>
        <w:t>验证了</w:t>
      </w:r>
      <w:r w:rsidR="002D483B">
        <w:rPr>
          <w:rFonts w:ascii="宋体" w:hAnsi="宋体" w:hint="eastAsia"/>
        </w:rPr>
        <w:t>中国股票市场</w:t>
      </w:r>
      <w:r w:rsidR="002D483B" w:rsidRPr="0084204E">
        <w:rPr>
          <w:rFonts w:ascii="宋体" w:hAnsi="宋体" w:hint="eastAsia"/>
        </w:rPr>
        <w:t>零股交易策略的正确性，即散户情绪是股票交易的反向指标，当散户都悲观时，应该买入，当散户都乐观时，应该卖出。</w:t>
      </w:r>
    </w:p>
    <w:p w:rsidR="00186044" w:rsidRDefault="00E73D2F" w:rsidP="0084204E">
      <w:pPr>
        <w:autoSpaceDE w:val="0"/>
        <w:autoSpaceDN w:val="0"/>
        <w:adjustRightInd w:val="0"/>
        <w:spacing w:line="360" w:lineRule="auto"/>
        <w:ind w:firstLineChars="200" w:firstLine="420"/>
        <w:jc w:val="left"/>
        <w:rPr>
          <w:rFonts w:ascii="宋体" w:hAnsi="宋体"/>
        </w:rPr>
      </w:pPr>
      <w:r w:rsidRPr="0084204E">
        <w:rPr>
          <w:rFonts w:ascii="宋体" w:hAnsi="宋体" w:hint="eastAsia"/>
        </w:rPr>
        <w:t>以上是</w:t>
      </w:r>
      <w:r w:rsidR="0096088E">
        <w:rPr>
          <w:rFonts w:ascii="宋体" w:hAnsi="宋体" w:hint="eastAsia"/>
        </w:rPr>
        <w:t>本文</w:t>
      </w:r>
      <w:r w:rsidRPr="0084204E">
        <w:rPr>
          <w:rFonts w:ascii="宋体" w:hAnsi="宋体" w:hint="eastAsia"/>
        </w:rPr>
        <w:t>对</w:t>
      </w:r>
      <w:r w:rsidR="0096088E">
        <w:rPr>
          <w:rFonts w:ascii="宋体" w:hAnsi="宋体" w:hint="eastAsia"/>
        </w:rPr>
        <w:t>上海师范大学商学院</w:t>
      </w:r>
      <w:r w:rsidRPr="0084204E">
        <w:rPr>
          <w:rFonts w:ascii="宋体" w:hAnsi="宋体" w:hint="eastAsia"/>
        </w:rPr>
        <w:t>新推出的散户舆情指数做的一些简单评价，分析肯定有很多不周到的地方，只能算是抛砖引玉，希望</w:t>
      </w:r>
      <w:r w:rsidR="009A7C2C">
        <w:rPr>
          <w:rFonts w:ascii="宋体" w:hAnsi="宋体" w:hint="eastAsia"/>
        </w:rPr>
        <w:t>感兴趣的学者</w:t>
      </w:r>
      <w:r w:rsidRPr="0084204E">
        <w:rPr>
          <w:rFonts w:ascii="宋体" w:hAnsi="宋体" w:hint="eastAsia"/>
        </w:rPr>
        <w:t>能够从</w:t>
      </w:r>
      <w:r w:rsidR="0096088E" w:rsidRPr="0084204E">
        <w:rPr>
          <w:rFonts w:ascii="宋体" w:hAnsi="宋体" w:hint="eastAsia"/>
        </w:rPr>
        <w:t>散户舆情指数</w:t>
      </w:r>
      <w:r w:rsidRPr="0084204E">
        <w:rPr>
          <w:rFonts w:ascii="宋体" w:hAnsi="宋体" w:hint="eastAsia"/>
        </w:rPr>
        <w:t>身上挖掘出更多有价值的信息！</w:t>
      </w:r>
    </w:p>
    <w:p w:rsidR="00B970E3" w:rsidRDefault="00B970E3" w:rsidP="0084204E">
      <w:pPr>
        <w:autoSpaceDE w:val="0"/>
        <w:autoSpaceDN w:val="0"/>
        <w:adjustRightInd w:val="0"/>
        <w:spacing w:line="360" w:lineRule="auto"/>
        <w:ind w:firstLineChars="200" w:firstLine="420"/>
        <w:jc w:val="left"/>
        <w:rPr>
          <w:rFonts w:ascii="宋体" w:hAnsi="宋体"/>
        </w:rPr>
      </w:pPr>
    </w:p>
    <w:p w:rsidR="00D45BA9" w:rsidRDefault="00D45BA9" w:rsidP="00B970E3">
      <w:pPr>
        <w:spacing w:line="360" w:lineRule="auto"/>
        <w:jc w:val="left"/>
        <w:rPr>
          <w:b/>
          <w:sz w:val="28"/>
          <w:szCs w:val="28"/>
        </w:rPr>
      </w:pPr>
    </w:p>
    <w:p w:rsidR="00B970E3" w:rsidRDefault="00B970E3" w:rsidP="00B970E3">
      <w:pPr>
        <w:spacing w:line="360" w:lineRule="auto"/>
        <w:jc w:val="left"/>
        <w:rPr>
          <w:b/>
          <w:sz w:val="28"/>
          <w:szCs w:val="28"/>
        </w:rPr>
      </w:pPr>
      <w:r w:rsidRPr="00B970E3">
        <w:rPr>
          <w:rFonts w:hint="eastAsia"/>
          <w:b/>
          <w:sz w:val="28"/>
          <w:szCs w:val="28"/>
        </w:rPr>
        <w:t>参考文献</w:t>
      </w:r>
    </w:p>
    <w:p w:rsidR="00924812" w:rsidRPr="00A11272" w:rsidRDefault="00924812" w:rsidP="0058694F">
      <w:pPr>
        <w:pStyle w:val="a3"/>
        <w:numPr>
          <w:ilvl w:val="1"/>
          <w:numId w:val="3"/>
        </w:numPr>
        <w:ind w:firstLineChars="0"/>
        <w:jc w:val="left"/>
        <w:rPr>
          <w:rFonts w:ascii="Times New Roman" w:hAnsi="Times New Roman" w:cs="Times New Roman"/>
        </w:rPr>
      </w:pPr>
      <w:r w:rsidRPr="00A11272">
        <w:rPr>
          <w:rFonts w:ascii="Times New Roman" w:hAnsi="Times New Roman" w:cs="Times New Roman"/>
        </w:rPr>
        <w:t>Baker</w:t>
      </w:r>
      <w:r w:rsidR="00AE41A9" w:rsidRPr="00A11272">
        <w:rPr>
          <w:rFonts w:ascii="Times New Roman" w:hAnsi="Times New Roman" w:cs="Times New Roman"/>
        </w:rPr>
        <w:t>,</w:t>
      </w:r>
      <w:r w:rsidRPr="00A11272">
        <w:rPr>
          <w:rFonts w:ascii="Times New Roman" w:hAnsi="Times New Roman" w:cs="Times New Roman"/>
        </w:rPr>
        <w:t xml:space="preserve"> M</w:t>
      </w:r>
      <w:r w:rsidR="00AE41A9" w:rsidRPr="00A11272">
        <w:rPr>
          <w:rFonts w:ascii="Times New Roman" w:hAnsi="Times New Roman" w:cs="Times New Roman"/>
        </w:rPr>
        <w:t xml:space="preserve">. and J. </w:t>
      </w:r>
      <w:proofErr w:type="spellStart"/>
      <w:r w:rsidRPr="00A11272">
        <w:rPr>
          <w:rFonts w:ascii="Times New Roman" w:hAnsi="Times New Roman" w:cs="Times New Roman"/>
        </w:rPr>
        <w:t>Wurgler</w:t>
      </w:r>
      <w:proofErr w:type="spellEnd"/>
      <w:r w:rsidR="008C4F88" w:rsidRPr="00A11272">
        <w:rPr>
          <w:rFonts w:ascii="Times New Roman" w:hAnsi="Times New Roman" w:cs="Times New Roman"/>
        </w:rPr>
        <w:t xml:space="preserve">. </w:t>
      </w:r>
      <w:r w:rsidRPr="00A11272">
        <w:rPr>
          <w:rFonts w:ascii="Times New Roman" w:hAnsi="Times New Roman" w:cs="Times New Roman"/>
        </w:rPr>
        <w:t xml:space="preserve">Investor sentiment and the cross-section of stock returns </w:t>
      </w:r>
      <w:r w:rsidR="008C4F88" w:rsidRPr="00A11272">
        <w:rPr>
          <w:rFonts w:ascii="Times New Roman" w:hAnsi="Times New Roman" w:cs="Times New Roman"/>
        </w:rPr>
        <w:t xml:space="preserve">[J]. </w:t>
      </w:r>
      <w:r w:rsidRPr="00A11272">
        <w:rPr>
          <w:rFonts w:ascii="Times New Roman" w:hAnsi="Times New Roman" w:cs="Times New Roman"/>
          <w:i/>
        </w:rPr>
        <w:t>Journal of Finance</w:t>
      </w:r>
      <w:proofErr w:type="gramStart"/>
      <w:r w:rsidRPr="00A11272">
        <w:rPr>
          <w:rFonts w:ascii="Times New Roman" w:hAnsi="Times New Roman" w:cs="Times New Roman"/>
        </w:rPr>
        <w:t>,</w:t>
      </w:r>
      <w:r w:rsidR="008C4F88" w:rsidRPr="00A11272">
        <w:rPr>
          <w:rFonts w:ascii="Times New Roman" w:hAnsi="Times New Roman" w:cs="Times New Roman"/>
        </w:rPr>
        <w:t>2006</w:t>
      </w:r>
      <w:proofErr w:type="gramEnd"/>
      <w:r w:rsidR="008C4F88" w:rsidRPr="00A11272">
        <w:rPr>
          <w:rFonts w:ascii="Times New Roman" w:hAnsi="Times New Roman" w:cs="Times New Roman"/>
        </w:rPr>
        <w:t xml:space="preserve">, </w:t>
      </w:r>
      <w:r w:rsidR="00AE41A9" w:rsidRPr="00A11272">
        <w:rPr>
          <w:rFonts w:ascii="Times New Roman" w:hAnsi="Times New Roman" w:cs="Times New Roman"/>
        </w:rPr>
        <w:t xml:space="preserve">Vol. </w:t>
      </w:r>
      <w:r w:rsidRPr="00A11272">
        <w:rPr>
          <w:rFonts w:ascii="Times New Roman" w:hAnsi="Times New Roman" w:cs="Times New Roman"/>
        </w:rPr>
        <w:t>61</w:t>
      </w:r>
      <w:r w:rsidR="00AE41A9" w:rsidRPr="00A11272">
        <w:rPr>
          <w:rFonts w:ascii="Times New Roman" w:hAnsi="Times New Roman" w:cs="Times New Roman"/>
        </w:rPr>
        <w:t>,No.</w:t>
      </w:r>
      <w:r w:rsidRPr="00A11272">
        <w:rPr>
          <w:rFonts w:ascii="Times New Roman" w:hAnsi="Times New Roman" w:cs="Times New Roman"/>
        </w:rPr>
        <w:t xml:space="preserve">4, </w:t>
      </w:r>
      <w:r w:rsidR="00AE41A9" w:rsidRPr="00A11272">
        <w:rPr>
          <w:rFonts w:ascii="Times New Roman" w:hAnsi="Times New Roman" w:cs="Times New Roman"/>
        </w:rPr>
        <w:t>pp.</w:t>
      </w:r>
      <w:r w:rsidRPr="00A11272">
        <w:rPr>
          <w:rFonts w:ascii="Times New Roman" w:hAnsi="Times New Roman" w:cs="Times New Roman"/>
        </w:rPr>
        <w:t>1645–1680.</w:t>
      </w:r>
    </w:p>
    <w:p w:rsidR="00644544" w:rsidRPr="00A11272" w:rsidRDefault="00644544" w:rsidP="00644544">
      <w:pPr>
        <w:pStyle w:val="a3"/>
        <w:numPr>
          <w:ilvl w:val="1"/>
          <w:numId w:val="3"/>
        </w:numPr>
        <w:ind w:firstLineChars="0"/>
        <w:jc w:val="left"/>
        <w:rPr>
          <w:rFonts w:ascii="Times New Roman" w:hAnsi="Times New Roman" w:cs="Times New Roman"/>
        </w:rPr>
      </w:pPr>
      <w:r w:rsidRPr="00A11272">
        <w:rPr>
          <w:rFonts w:ascii="Times New Roman" w:hAnsi="Times New Roman" w:cs="Times New Roman"/>
        </w:rPr>
        <w:t>Brown, G. W. and M. T. Cliff</w:t>
      </w:r>
      <w:r w:rsidR="008C4F88" w:rsidRPr="00A11272">
        <w:rPr>
          <w:rFonts w:ascii="Times New Roman" w:hAnsi="Times New Roman" w:cs="Times New Roman"/>
        </w:rPr>
        <w:t xml:space="preserve">. </w:t>
      </w:r>
      <w:r w:rsidRPr="00A11272">
        <w:rPr>
          <w:rFonts w:ascii="Times New Roman" w:hAnsi="Times New Roman" w:cs="Times New Roman"/>
        </w:rPr>
        <w:t>Investor sentiment and asset valuation</w:t>
      </w:r>
      <w:r w:rsidR="008C4F88" w:rsidRPr="00A11272">
        <w:rPr>
          <w:rFonts w:ascii="Times New Roman" w:hAnsi="Times New Roman" w:cs="Times New Roman"/>
        </w:rPr>
        <w:t xml:space="preserve"> [J].</w:t>
      </w:r>
      <w:r w:rsidRPr="00A11272">
        <w:rPr>
          <w:rFonts w:ascii="Times New Roman" w:hAnsi="Times New Roman" w:cs="Times New Roman"/>
          <w:i/>
        </w:rPr>
        <w:t>Journal of Business</w:t>
      </w:r>
      <w:r w:rsidRPr="00A11272">
        <w:rPr>
          <w:rFonts w:ascii="Times New Roman" w:hAnsi="Times New Roman" w:cs="Times New Roman"/>
        </w:rPr>
        <w:t xml:space="preserve">, </w:t>
      </w:r>
      <w:r w:rsidR="008C4F88" w:rsidRPr="00A11272">
        <w:rPr>
          <w:rFonts w:ascii="Times New Roman" w:hAnsi="Times New Roman" w:cs="Times New Roman"/>
        </w:rPr>
        <w:t xml:space="preserve">2005, </w:t>
      </w:r>
      <w:r w:rsidRPr="00A11272">
        <w:rPr>
          <w:rFonts w:ascii="Times New Roman" w:hAnsi="Times New Roman" w:cs="Times New Roman"/>
        </w:rPr>
        <w:t>Vol.78, No.2, pp.405-440.</w:t>
      </w:r>
    </w:p>
    <w:p w:rsidR="008116E5" w:rsidRPr="00A11272" w:rsidRDefault="008116E5" w:rsidP="008116E5">
      <w:pPr>
        <w:pStyle w:val="a3"/>
        <w:numPr>
          <w:ilvl w:val="1"/>
          <w:numId w:val="3"/>
        </w:numPr>
        <w:ind w:firstLineChars="0"/>
        <w:jc w:val="left"/>
        <w:rPr>
          <w:rFonts w:ascii="Times New Roman" w:hAnsi="Times New Roman" w:cs="Times New Roman"/>
        </w:rPr>
      </w:pPr>
      <w:r w:rsidRPr="00A11272">
        <w:rPr>
          <w:rFonts w:ascii="Times New Roman" w:hAnsi="Times New Roman" w:cs="Times New Roman"/>
        </w:rPr>
        <w:t xml:space="preserve">Beer, F. and M. </w:t>
      </w:r>
      <w:proofErr w:type="spellStart"/>
      <w:r w:rsidRPr="00A11272">
        <w:rPr>
          <w:rFonts w:ascii="Times New Roman" w:hAnsi="Times New Roman" w:cs="Times New Roman"/>
        </w:rPr>
        <w:t>Zouaoui</w:t>
      </w:r>
      <w:proofErr w:type="spellEnd"/>
      <w:r w:rsidR="008C4F88" w:rsidRPr="00A11272">
        <w:rPr>
          <w:rFonts w:ascii="Times New Roman" w:hAnsi="Times New Roman" w:cs="Times New Roman"/>
        </w:rPr>
        <w:t xml:space="preserve">. </w:t>
      </w:r>
      <w:r w:rsidRPr="00A11272">
        <w:rPr>
          <w:rFonts w:ascii="Times New Roman" w:hAnsi="Times New Roman" w:cs="Times New Roman"/>
        </w:rPr>
        <w:t xml:space="preserve">Measuring stock market investor </w:t>
      </w:r>
      <w:proofErr w:type="gramStart"/>
      <w:r w:rsidRPr="00A11272">
        <w:rPr>
          <w:rFonts w:ascii="Times New Roman" w:hAnsi="Times New Roman" w:cs="Times New Roman"/>
        </w:rPr>
        <w:t>sentiment</w:t>
      </w:r>
      <w:r w:rsidR="008C4F88" w:rsidRPr="00A11272">
        <w:rPr>
          <w:rFonts w:ascii="Times New Roman" w:hAnsi="Times New Roman" w:cs="Times New Roman"/>
        </w:rPr>
        <w:t>[</w:t>
      </w:r>
      <w:proofErr w:type="gramEnd"/>
      <w:r w:rsidR="008C4F88" w:rsidRPr="00A11272">
        <w:rPr>
          <w:rFonts w:ascii="Times New Roman" w:hAnsi="Times New Roman" w:cs="Times New Roman"/>
        </w:rPr>
        <w:t xml:space="preserve">J]. </w:t>
      </w:r>
      <w:r w:rsidRPr="00A11272">
        <w:rPr>
          <w:rFonts w:ascii="Times New Roman" w:hAnsi="Times New Roman" w:cs="Times New Roman"/>
          <w:i/>
        </w:rPr>
        <w:t>Journal of Applied Business Research</w:t>
      </w:r>
      <w:proofErr w:type="gramStart"/>
      <w:r w:rsidRPr="00A11272">
        <w:rPr>
          <w:rFonts w:ascii="Times New Roman" w:hAnsi="Times New Roman" w:cs="Times New Roman"/>
        </w:rPr>
        <w:t>,</w:t>
      </w:r>
      <w:r w:rsidR="008C4F88" w:rsidRPr="00A11272">
        <w:rPr>
          <w:rFonts w:ascii="Times New Roman" w:hAnsi="Times New Roman" w:cs="Times New Roman"/>
        </w:rPr>
        <w:t>2013</w:t>
      </w:r>
      <w:proofErr w:type="gramEnd"/>
      <w:r w:rsidR="008C4F88" w:rsidRPr="00A11272">
        <w:rPr>
          <w:rFonts w:ascii="Times New Roman" w:hAnsi="Times New Roman" w:cs="Times New Roman"/>
        </w:rPr>
        <w:t xml:space="preserve">, </w:t>
      </w:r>
      <w:r w:rsidRPr="00A11272">
        <w:rPr>
          <w:rFonts w:ascii="Times New Roman" w:hAnsi="Times New Roman" w:cs="Times New Roman"/>
        </w:rPr>
        <w:t>Vol.29, No.1, pp.51-68.</w:t>
      </w:r>
    </w:p>
    <w:p w:rsidR="001240B6" w:rsidRPr="00A11272" w:rsidRDefault="001240B6" w:rsidP="001240B6">
      <w:pPr>
        <w:pStyle w:val="a3"/>
        <w:numPr>
          <w:ilvl w:val="1"/>
          <w:numId w:val="3"/>
        </w:numPr>
        <w:ind w:firstLineChars="0"/>
        <w:jc w:val="left"/>
        <w:rPr>
          <w:rFonts w:ascii="Times New Roman" w:hAnsi="Times New Roman" w:cs="Times New Roman"/>
        </w:rPr>
      </w:pPr>
      <w:r w:rsidRPr="00A11272">
        <w:rPr>
          <w:rFonts w:ascii="Times New Roman" w:hAnsi="Times New Roman" w:cs="Times New Roman"/>
        </w:rPr>
        <w:t>蒋玉梅</w:t>
      </w:r>
      <w:r w:rsidRPr="00A11272">
        <w:rPr>
          <w:rFonts w:ascii="Times New Roman" w:hAnsi="Times New Roman" w:cs="Times New Roman"/>
        </w:rPr>
        <w:t>,</w:t>
      </w:r>
      <w:r w:rsidRPr="00A11272">
        <w:rPr>
          <w:rFonts w:ascii="Times New Roman" w:hAnsi="Times New Roman" w:cs="Times New Roman"/>
        </w:rPr>
        <w:t>王明照</w:t>
      </w:r>
      <w:r w:rsidRPr="00A11272">
        <w:rPr>
          <w:rFonts w:ascii="Times New Roman" w:hAnsi="Times New Roman" w:cs="Times New Roman"/>
        </w:rPr>
        <w:t xml:space="preserve">. </w:t>
      </w:r>
      <w:r w:rsidRPr="00A11272">
        <w:rPr>
          <w:rFonts w:ascii="Times New Roman" w:hAnsi="Times New Roman" w:cs="Times New Roman"/>
        </w:rPr>
        <w:t>投资者情绪与股票收益</w:t>
      </w:r>
      <w:r w:rsidRPr="00A11272">
        <w:rPr>
          <w:rFonts w:ascii="Times New Roman" w:hAnsi="Times New Roman" w:cs="Times New Roman"/>
        </w:rPr>
        <w:t>:</w:t>
      </w:r>
      <w:r w:rsidRPr="00A11272">
        <w:rPr>
          <w:rFonts w:ascii="Times New Roman" w:hAnsi="Times New Roman" w:cs="Times New Roman"/>
        </w:rPr>
        <w:t>总体效应与横截面效应的实证研究</w:t>
      </w:r>
      <w:r w:rsidRPr="00A11272">
        <w:rPr>
          <w:rFonts w:ascii="Times New Roman" w:hAnsi="Times New Roman" w:cs="Times New Roman"/>
        </w:rPr>
        <w:t xml:space="preserve">[J]. </w:t>
      </w:r>
      <w:r w:rsidRPr="00A11272">
        <w:rPr>
          <w:rFonts w:ascii="Times New Roman" w:hAnsi="Times New Roman" w:cs="Times New Roman"/>
        </w:rPr>
        <w:t>南开管理评论</w:t>
      </w:r>
      <w:r w:rsidRPr="00A11272">
        <w:rPr>
          <w:rFonts w:ascii="Times New Roman" w:hAnsi="Times New Roman" w:cs="Times New Roman"/>
        </w:rPr>
        <w:t>,2010,13(03):150-160.</w:t>
      </w:r>
    </w:p>
    <w:p w:rsidR="001240B6" w:rsidRPr="00A11272" w:rsidRDefault="001240B6" w:rsidP="00CB08EF">
      <w:pPr>
        <w:pStyle w:val="a3"/>
        <w:numPr>
          <w:ilvl w:val="1"/>
          <w:numId w:val="3"/>
        </w:numPr>
        <w:ind w:firstLineChars="0"/>
        <w:jc w:val="left"/>
        <w:rPr>
          <w:rFonts w:ascii="Times New Roman" w:hAnsi="Times New Roman" w:cs="Times New Roman"/>
        </w:rPr>
      </w:pPr>
      <w:r w:rsidRPr="00A11272">
        <w:rPr>
          <w:rFonts w:ascii="Times New Roman" w:hAnsi="Times New Roman" w:cs="Times New Roman"/>
          <w:color w:val="333333"/>
          <w:szCs w:val="21"/>
          <w:shd w:val="clear" w:color="auto" w:fill="FFFFFF"/>
        </w:rPr>
        <w:t>张婷</w:t>
      </w:r>
      <w:r w:rsidRPr="00A11272">
        <w:rPr>
          <w:rFonts w:ascii="Times New Roman" w:hAnsi="Times New Roman" w:cs="Times New Roman"/>
          <w:color w:val="333333"/>
          <w:szCs w:val="21"/>
          <w:shd w:val="clear" w:color="auto" w:fill="FFFFFF"/>
        </w:rPr>
        <w:t>,</w:t>
      </w:r>
      <w:r w:rsidRPr="00A11272">
        <w:rPr>
          <w:rFonts w:ascii="Times New Roman" w:hAnsi="Times New Roman" w:cs="Times New Roman"/>
          <w:color w:val="333333"/>
          <w:szCs w:val="21"/>
          <w:shd w:val="clear" w:color="auto" w:fill="FFFFFF"/>
        </w:rPr>
        <w:t>于瑾</w:t>
      </w:r>
      <w:r w:rsidRPr="00A11272">
        <w:rPr>
          <w:rFonts w:ascii="Times New Roman" w:hAnsi="Times New Roman" w:cs="Times New Roman"/>
          <w:color w:val="333333"/>
          <w:szCs w:val="21"/>
          <w:shd w:val="clear" w:color="auto" w:fill="FFFFFF"/>
        </w:rPr>
        <w:t>,</w:t>
      </w:r>
      <w:r w:rsidRPr="00A11272">
        <w:rPr>
          <w:rFonts w:ascii="Times New Roman" w:hAnsi="Times New Roman" w:cs="Times New Roman"/>
          <w:color w:val="333333"/>
          <w:szCs w:val="21"/>
          <w:shd w:val="clear" w:color="auto" w:fill="FFFFFF"/>
        </w:rPr>
        <w:t>吕东锴</w:t>
      </w:r>
      <w:r w:rsidRPr="00A11272">
        <w:rPr>
          <w:rFonts w:ascii="Times New Roman" w:hAnsi="Times New Roman" w:cs="Times New Roman"/>
          <w:color w:val="333333"/>
          <w:szCs w:val="21"/>
          <w:shd w:val="clear" w:color="auto" w:fill="FFFFFF"/>
        </w:rPr>
        <w:t xml:space="preserve">. </w:t>
      </w:r>
      <w:r w:rsidRPr="00A11272">
        <w:rPr>
          <w:rFonts w:ascii="Times New Roman" w:hAnsi="Times New Roman" w:cs="Times New Roman"/>
          <w:color w:val="333333"/>
          <w:szCs w:val="21"/>
          <w:shd w:val="clear" w:color="auto" w:fill="FFFFFF"/>
        </w:rPr>
        <w:t>新兴市场投资者情绪与价值溢价异象</w:t>
      </w:r>
      <w:r w:rsidRPr="00A11272">
        <w:rPr>
          <w:rFonts w:ascii="Times New Roman" w:hAnsi="Times New Roman" w:cs="Times New Roman"/>
          <w:color w:val="333333"/>
          <w:szCs w:val="21"/>
          <w:shd w:val="clear" w:color="auto" w:fill="FFFFFF"/>
        </w:rPr>
        <w:t>——</w:t>
      </w:r>
      <w:r w:rsidRPr="00A11272">
        <w:rPr>
          <w:rFonts w:ascii="Times New Roman" w:hAnsi="Times New Roman" w:cs="Times New Roman"/>
          <w:color w:val="333333"/>
          <w:szCs w:val="21"/>
          <w:shd w:val="clear" w:color="auto" w:fill="FFFFFF"/>
        </w:rPr>
        <w:t>基于中国内地、香港和台湾地区的比较分析</w:t>
      </w:r>
      <w:r w:rsidRPr="00A11272">
        <w:rPr>
          <w:rFonts w:ascii="Times New Roman" w:hAnsi="Times New Roman" w:cs="Times New Roman"/>
          <w:color w:val="333333"/>
          <w:szCs w:val="21"/>
          <w:shd w:val="clear" w:color="auto" w:fill="FFFFFF"/>
        </w:rPr>
        <w:t xml:space="preserve">[J]. </w:t>
      </w:r>
      <w:r w:rsidRPr="00A11272">
        <w:rPr>
          <w:rFonts w:ascii="Times New Roman" w:hAnsi="Times New Roman" w:cs="Times New Roman"/>
          <w:color w:val="333333"/>
          <w:szCs w:val="21"/>
          <w:shd w:val="clear" w:color="auto" w:fill="FFFFFF"/>
        </w:rPr>
        <w:t>国际金融研究</w:t>
      </w:r>
      <w:r w:rsidRPr="00A11272">
        <w:rPr>
          <w:rFonts w:ascii="Times New Roman" w:hAnsi="Times New Roman" w:cs="Times New Roman"/>
          <w:color w:val="333333"/>
          <w:szCs w:val="21"/>
          <w:shd w:val="clear" w:color="auto" w:fill="FFFFFF"/>
        </w:rPr>
        <w:t>,2013,(01):87-95.</w:t>
      </w:r>
    </w:p>
    <w:p w:rsidR="001240B6" w:rsidRPr="00A11272" w:rsidRDefault="001240B6" w:rsidP="00CB08EF">
      <w:pPr>
        <w:pStyle w:val="a3"/>
        <w:numPr>
          <w:ilvl w:val="1"/>
          <w:numId w:val="3"/>
        </w:numPr>
        <w:ind w:firstLineChars="0"/>
        <w:jc w:val="left"/>
        <w:rPr>
          <w:rFonts w:ascii="Times New Roman" w:hAnsi="Times New Roman" w:cs="Times New Roman"/>
        </w:rPr>
      </w:pPr>
      <w:r w:rsidRPr="00A11272">
        <w:rPr>
          <w:rFonts w:ascii="Times New Roman" w:hAnsi="Times New Roman" w:cs="Times New Roman"/>
          <w:color w:val="333333"/>
          <w:szCs w:val="21"/>
          <w:shd w:val="clear" w:color="auto" w:fill="FFFFFF"/>
        </w:rPr>
        <w:t>张宗新</w:t>
      </w:r>
      <w:r w:rsidRPr="00A11272">
        <w:rPr>
          <w:rFonts w:ascii="Times New Roman" w:hAnsi="Times New Roman" w:cs="Times New Roman"/>
          <w:color w:val="333333"/>
          <w:szCs w:val="21"/>
          <w:shd w:val="clear" w:color="auto" w:fill="FFFFFF"/>
        </w:rPr>
        <w:t>,</w:t>
      </w:r>
      <w:r w:rsidRPr="00A11272">
        <w:rPr>
          <w:rFonts w:ascii="Times New Roman" w:hAnsi="Times New Roman" w:cs="Times New Roman"/>
          <w:color w:val="333333"/>
          <w:szCs w:val="21"/>
          <w:shd w:val="clear" w:color="auto" w:fill="FFFFFF"/>
        </w:rPr>
        <w:t>王海亮</w:t>
      </w:r>
      <w:r w:rsidRPr="00A11272">
        <w:rPr>
          <w:rFonts w:ascii="Times New Roman" w:hAnsi="Times New Roman" w:cs="Times New Roman"/>
          <w:color w:val="333333"/>
          <w:szCs w:val="21"/>
          <w:shd w:val="clear" w:color="auto" w:fill="FFFFFF"/>
        </w:rPr>
        <w:t xml:space="preserve">. </w:t>
      </w:r>
      <w:r w:rsidRPr="00A11272">
        <w:rPr>
          <w:rFonts w:ascii="Times New Roman" w:hAnsi="Times New Roman" w:cs="Times New Roman"/>
          <w:color w:val="333333"/>
          <w:szCs w:val="21"/>
          <w:shd w:val="clear" w:color="auto" w:fill="FFFFFF"/>
        </w:rPr>
        <w:t>投资者情绪、主观信念调整与市场波动</w:t>
      </w:r>
      <w:r w:rsidRPr="00A11272">
        <w:rPr>
          <w:rFonts w:ascii="Times New Roman" w:hAnsi="Times New Roman" w:cs="Times New Roman"/>
          <w:color w:val="333333"/>
          <w:szCs w:val="21"/>
          <w:shd w:val="clear" w:color="auto" w:fill="FFFFFF"/>
        </w:rPr>
        <w:t xml:space="preserve">[J]. </w:t>
      </w:r>
      <w:r w:rsidRPr="00A11272">
        <w:rPr>
          <w:rFonts w:ascii="Times New Roman" w:hAnsi="Times New Roman" w:cs="Times New Roman"/>
          <w:color w:val="333333"/>
          <w:szCs w:val="21"/>
          <w:shd w:val="clear" w:color="auto" w:fill="FFFFFF"/>
        </w:rPr>
        <w:t>金融研究</w:t>
      </w:r>
      <w:r w:rsidRPr="00A11272">
        <w:rPr>
          <w:rFonts w:ascii="Times New Roman" w:hAnsi="Times New Roman" w:cs="Times New Roman"/>
          <w:color w:val="333333"/>
          <w:szCs w:val="21"/>
          <w:shd w:val="clear" w:color="auto" w:fill="FFFFFF"/>
        </w:rPr>
        <w:t>,2013,(04):142-155.</w:t>
      </w:r>
    </w:p>
    <w:p w:rsidR="001240B6" w:rsidRPr="00A11272" w:rsidRDefault="001240B6" w:rsidP="00985F8B">
      <w:pPr>
        <w:pStyle w:val="a3"/>
        <w:numPr>
          <w:ilvl w:val="1"/>
          <w:numId w:val="3"/>
        </w:numPr>
        <w:ind w:firstLineChars="0"/>
        <w:jc w:val="left"/>
        <w:rPr>
          <w:rFonts w:ascii="Times New Roman" w:hAnsi="Times New Roman" w:cs="Times New Roman"/>
        </w:rPr>
      </w:pPr>
      <w:r w:rsidRPr="00A11272">
        <w:rPr>
          <w:rFonts w:ascii="Times New Roman" w:hAnsi="Times New Roman" w:cs="Times New Roman"/>
          <w:color w:val="333333"/>
          <w:szCs w:val="21"/>
          <w:shd w:val="clear" w:color="auto" w:fill="FFFFFF"/>
        </w:rPr>
        <w:t>文凤华</w:t>
      </w:r>
      <w:r w:rsidRPr="00A11272">
        <w:rPr>
          <w:rFonts w:ascii="Times New Roman" w:hAnsi="Times New Roman" w:cs="Times New Roman"/>
          <w:color w:val="333333"/>
          <w:szCs w:val="21"/>
          <w:shd w:val="clear" w:color="auto" w:fill="FFFFFF"/>
        </w:rPr>
        <w:t>,</w:t>
      </w:r>
      <w:r w:rsidRPr="00A11272">
        <w:rPr>
          <w:rFonts w:ascii="Times New Roman" w:hAnsi="Times New Roman" w:cs="Times New Roman"/>
          <w:color w:val="333333"/>
          <w:szCs w:val="21"/>
          <w:shd w:val="clear" w:color="auto" w:fill="FFFFFF"/>
        </w:rPr>
        <w:t>肖金利</w:t>
      </w:r>
      <w:r w:rsidRPr="00A11272">
        <w:rPr>
          <w:rFonts w:ascii="Times New Roman" w:hAnsi="Times New Roman" w:cs="Times New Roman"/>
          <w:color w:val="333333"/>
          <w:szCs w:val="21"/>
          <w:shd w:val="clear" w:color="auto" w:fill="FFFFFF"/>
        </w:rPr>
        <w:t>,</w:t>
      </w:r>
      <w:proofErr w:type="gramStart"/>
      <w:r w:rsidRPr="00A11272">
        <w:rPr>
          <w:rFonts w:ascii="Times New Roman" w:hAnsi="Times New Roman" w:cs="Times New Roman"/>
          <w:color w:val="333333"/>
          <w:szCs w:val="21"/>
          <w:shd w:val="clear" w:color="auto" w:fill="FFFFFF"/>
        </w:rPr>
        <w:t>黄创霞</w:t>
      </w:r>
      <w:proofErr w:type="gramEnd"/>
      <w:r w:rsidRPr="00A11272">
        <w:rPr>
          <w:rFonts w:ascii="Times New Roman" w:hAnsi="Times New Roman" w:cs="Times New Roman"/>
          <w:color w:val="333333"/>
          <w:szCs w:val="21"/>
          <w:shd w:val="clear" w:color="auto" w:fill="FFFFFF"/>
        </w:rPr>
        <w:t>,</w:t>
      </w:r>
      <w:r w:rsidRPr="00A11272">
        <w:rPr>
          <w:rFonts w:ascii="Times New Roman" w:hAnsi="Times New Roman" w:cs="Times New Roman"/>
          <w:color w:val="333333"/>
          <w:szCs w:val="21"/>
          <w:shd w:val="clear" w:color="auto" w:fill="FFFFFF"/>
        </w:rPr>
        <w:t>陈晓红</w:t>
      </w:r>
      <w:r w:rsidRPr="00A11272">
        <w:rPr>
          <w:rFonts w:ascii="Times New Roman" w:hAnsi="Times New Roman" w:cs="Times New Roman"/>
          <w:color w:val="333333"/>
          <w:szCs w:val="21"/>
          <w:shd w:val="clear" w:color="auto" w:fill="FFFFFF"/>
        </w:rPr>
        <w:t>,</w:t>
      </w:r>
      <w:r w:rsidRPr="00A11272">
        <w:rPr>
          <w:rFonts w:ascii="Times New Roman" w:hAnsi="Times New Roman" w:cs="Times New Roman"/>
          <w:color w:val="333333"/>
          <w:szCs w:val="21"/>
          <w:shd w:val="clear" w:color="auto" w:fill="FFFFFF"/>
        </w:rPr>
        <w:t>杨晓光</w:t>
      </w:r>
      <w:r w:rsidRPr="00A11272">
        <w:rPr>
          <w:rFonts w:ascii="Times New Roman" w:hAnsi="Times New Roman" w:cs="Times New Roman"/>
          <w:color w:val="333333"/>
          <w:szCs w:val="21"/>
          <w:shd w:val="clear" w:color="auto" w:fill="FFFFFF"/>
        </w:rPr>
        <w:t xml:space="preserve">. </w:t>
      </w:r>
      <w:r w:rsidRPr="00A11272">
        <w:rPr>
          <w:rFonts w:ascii="Times New Roman" w:hAnsi="Times New Roman" w:cs="Times New Roman"/>
          <w:color w:val="333333"/>
          <w:szCs w:val="21"/>
          <w:shd w:val="clear" w:color="auto" w:fill="FFFFFF"/>
        </w:rPr>
        <w:t>投资者情绪特征对股票价格行为的影响研究</w:t>
      </w:r>
      <w:r w:rsidRPr="00A11272">
        <w:rPr>
          <w:rFonts w:ascii="Times New Roman" w:hAnsi="Times New Roman" w:cs="Times New Roman"/>
          <w:color w:val="333333"/>
          <w:szCs w:val="21"/>
          <w:shd w:val="clear" w:color="auto" w:fill="FFFFFF"/>
        </w:rPr>
        <w:t xml:space="preserve">[J]. </w:t>
      </w:r>
      <w:r w:rsidRPr="00A11272">
        <w:rPr>
          <w:rFonts w:ascii="Times New Roman" w:hAnsi="Times New Roman" w:cs="Times New Roman"/>
          <w:color w:val="333333"/>
          <w:szCs w:val="21"/>
          <w:shd w:val="clear" w:color="auto" w:fill="FFFFFF"/>
        </w:rPr>
        <w:t>管理科学学报</w:t>
      </w:r>
      <w:r w:rsidRPr="00A11272">
        <w:rPr>
          <w:rFonts w:ascii="Times New Roman" w:hAnsi="Times New Roman" w:cs="Times New Roman"/>
          <w:color w:val="333333"/>
          <w:szCs w:val="21"/>
          <w:shd w:val="clear" w:color="auto" w:fill="FFFFFF"/>
        </w:rPr>
        <w:t>,2014,17(03):60-69.</w:t>
      </w:r>
    </w:p>
    <w:p w:rsidR="001240B6" w:rsidRPr="00A11272" w:rsidRDefault="001240B6" w:rsidP="00985F8B">
      <w:pPr>
        <w:pStyle w:val="a3"/>
        <w:numPr>
          <w:ilvl w:val="1"/>
          <w:numId w:val="3"/>
        </w:numPr>
        <w:ind w:firstLineChars="0"/>
        <w:jc w:val="left"/>
        <w:rPr>
          <w:rFonts w:ascii="Times New Roman" w:hAnsi="Times New Roman" w:cs="Times New Roman"/>
        </w:rPr>
      </w:pPr>
      <w:r w:rsidRPr="00A11272">
        <w:rPr>
          <w:rFonts w:ascii="Times New Roman" w:hAnsi="Times New Roman" w:cs="Times New Roman"/>
          <w:color w:val="333333"/>
          <w:szCs w:val="21"/>
          <w:shd w:val="clear" w:color="auto" w:fill="FFFFFF"/>
        </w:rPr>
        <w:t>花贵如</w:t>
      </w:r>
      <w:r w:rsidRPr="00A11272">
        <w:rPr>
          <w:rFonts w:ascii="Times New Roman" w:hAnsi="Times New Roman" w:cs="Times New Roman"/>
          <w:color w:val="333333"/>
          <w:szCs w:val="21"/>
          <w:shd w:val="clear" w:color="auto" w:fill="FFFFFF"/>
        </w:rPr>
        <w:t>,</w:t>
      </w:r>
      <w:r w:rsidRPr="00A11272">
        <w:rPr>
          <w:rFonts w:ascii="Times New Roman" w:hAnsi="Times New Roman" w:cs="Times New Roman"/>
          <w:color w:val="333333"/>
          <w:szCs w:val="21"/>
          <w:shd w:val="clear" w:color="auto" w:fill="FFFFFF"/>
        </w:rPr>
        <w:t>刘志远</w:t>
      </w:r>
      <w:r w:rsidRPr="00A11272">
        <w:rPr>
          <w:rFonts w:ascii="Times New Roman" w:hAnsi="Times New Roman" w:cs="Times New Roman"/>
          <w:color w:val="333333"/>
          <w:szCs w:val="21"/>
          <w:shd w:val="clear" w:color="auto" w:fill="FFFFFF"/>
        </w:rPr>
        <w:t>,</w:t>
      </w:r>
      <w:r w:rsidRPr="00A11272">
        <w:rPr>
          <w:rFonts w:ascii="Times New Roman" w:hAnsi="Times New Roman" w:cs="Times New Roman"/>
          <w:color w:val="333333"/>
          <w:szCs w:val="21"/>
          <w:shd w:val="clear" w:color="auto" w:fill="FFFFFF"/>
        </w:rPr>
        <w:t>许骞</w:t>
      </w:r>
      <w:r w:rsidRPr="00A11272">
        <w:rPr>
          <w:rFonts w:ascii="Times New Roman" w:hAnsi="Times New Roman" w:cs="Times New Roman"/>
          <w:color w:val="333333"/>
          <w:szCs w:val="21"/>
          <w:shd w:val="clear" w:color="auto" w:fill="FFFFFF"/>
        </w:rPr>
        <w:t xml:space="preserve">. </w:t>
      </w:r>
      <w:r w:rsidRPr="00A11272">
        <w:rPr>
          <w:rFonts w:ascii="Times New Roman" w:hAnsi="Times New Roman" w:cs="Times New Roman"/>
          <w:color w:val="333333"/>
          <w:szCs w:val="21"/>
          <w:shd w:val="clear" w:color="auto" w:fill="FFFFFF"/>
        </w:rPr>
        <w:t>投资者情绪、管理者乐观主义与企业投资行为</w:t>
      </w:r>
      <w:r w:rsidRPr="00A11272">
        <w:rPr>
          <w:rFonts w:ascii="Times New Roman" w:hAnsi="Times New Roman" w:cs="Times New Roman"/>
          <w:color w:val="333333"/>
          <w:szCs w:val="21"/>
          <w:shd w:val="clear" w:color="auto" w:fill="FFFFFF"/>
        </w:rPr>
        <w:t xml:space="preserve">[J]. </w:t>
      </w:r>
      <w:r w:rsidRPr="00A11272">
        <w:rPr>
          <w:rFonts w:ascii="Times New Roman" w:hAnsi="Times New Roman" w:cs="Times New Roman"/>
          <w:color w:val="333333"/>
          <w:szCs w:val="21"/>
          <w:shd w:val="clear" w:color="auto" w:fill="FFFFFF"/>
        </w:rPr>
        <w:t>金融研究</w:t>
      </w:r>
      <w:r w:rsidRPr="00A11272">
        <w:rPr>
          <w:rFonts w:ascii="Times New Roman" w:hAnsi="Times New Roman" w:cs="Times New Roman"/>
          <w:color w:val="333333"/>
          <w:szCs w:val="21"/>
          <w:shd w:val="clear" w:color="auto" w:fill="FFFFFF"/>
        </w:rPr>
        <w:t>,2011,(09):178-191.</w:t>
      </w:r>
    </w:p>
    <w:p w:rsidR="00985F8B" w:rsidRPr="00A11272" w:rsidRDefault="00985F8B" w:rsidP="00985F8B">
      <w:pPr>
        <w:pStyle w:val="a3"/>
        <w:numPr>
          <w:ilvl w:val="1"/>
          <w:numId w:val="3"/>
        </w:numPr>
        <w:ind w:firstLineChars="0"/>
        <w:jc w:val="left"/>
        <w:rPr>
          <w:rFonts w:ascii="Times New Roman" w:hAnsi="Times New Roman" w:cs="Times New Roman"/>
        </w:rPr>
      </w:pPr>
      <w:r w:rsidRPr="00A11272">
        <w:rPr>
          <w:rFonts w:ascii="Times New Roman" w:hAnsi="Times New Roman" w:cs="Times New Roman"/>
        </w:rPr>
        <w:t xml:space="preserve">Huang, D., F. Jiang, J. </w:t>
      </w:r>
      <w:proofErr w:type="spellStart"/>
      <w:r w:rsidRPr="00A11272">
        <w:rPr>
          <w:rFonts w:ascii="Times New Roman" w:hAnsi="Times New Roman" w:cs="Times New Roman"/>
        </w:rPr>
        <w:t>Tu</w:t>
      </w:r>
      <w:proofErr w:type="spellEnd"/>
      <w:r w:rsidRPr="00A11272">
        <w:rPr>
          <w:rFonts w:ascii="Times New Roman" w:hAnsi="Times New Roman" w:cs="Times New Roman"/>
        </w:rPr>
        <w:t>, et al</w:t>
      </w:r>
      <w:r w:rsidR="001240B6" w:rsidRPr="00A11272">
        <w:rPr>
          <w:rFonts w:ascii="Times New Roman" w:hAnsi="Times New Roman" w:cs="Times New Roman"/>
        </w:rPr>
        <w:t xml:space="preserve">. </w:t>
      </w:r>
      <w:r w:rsidRPr="00A11272">
        <w:rPr>
          <w:rFonts w:ascii="Times New Roman" w:hAnsi="Times New Roman" w:cs="Times New Roman"/>
        </w:rPr>
        <w:t xml:space="preserve">Investor sentiment aligned: a powerful predictor of stock </w:t>
      </w:r>
      <w:proofErr w:type="gramStart"/>
      <w:r w:rsidRPr="00A11272">
        <w:rPr>
          <w:rFonts w:ascii="Times New Roman" w:hAnsi="Times New Roman" w:cs="Times New Roman"/>
        </w:rPr>
        <w:t>returns</w:t>
      </w:r>
      <w:r w:rsidR="001240B6" w:rsidRPr="00A11272">
        <w:rPr>
          <w:rFonts w:ascii="Times New Roman" w:hAnsi="Times New Roman" w:cs="Times New Roman"/>
        </w:rPr>
        <w:t>[</w:t>
      </w:r>
      <w:proofErr w:type="gramEnd"/>
      <w:r w:rsidR="001240B6" w:rsidRPr="00A11272">
        <w:rPr>
          <w:rFonts w:ascii="Times New Roman" w:hAnsi="Times New Roman" w:cs="Times New Roman"/>
        </w:rPr>
        <w:t xml:space="preserve">J]. </w:t>
      </w:r>
      <w:r w:rsidRPr="00A11272">
        <w:rPr>
          <w:rFonts w:ascii="Times New Roman" w:hAnsi="Times New Roman" w:cs="Times New Roman"/>
          <w:i/>
        </w:rPr>
        <w:t xml:space="preserve"> The Review of Financial Studies</w:t>
      </w:r>
      <w:r w:rsidRPr="00A11272">
        <w:rPr>
          <w:rFonts w:ascii="Times New Roman" w:hAnsi="Times New Roman" w:cs="Times New Roman"/>
        </w:rPr>
        <w:t xml:space="preserve">, </w:t>
      </w:r>
      <w:r w:rsidR="001240B6" w:rsidRPr="00A11272">
        <w:rPr>
          <w:rFonts w:ascii="Times New Roman" w:hAnsi="Times New Roman" w:cs="Times New Roman"/>
        </w:rPr>
        <w:t xml:space="preserve">2015, </w:t>
      </w:r>
      <w:r w:rsidRPr="00A11272">
        <w:rPr>
          <w:rFonts w:ascii="Times New Roman" w:hAnsi="Times New Roman" w:cs="Times New Roman"/>
        </w:rPr>
        <w:t>Vol.28, No.3, pp.791-837.</w:t>
      </w:r>
    </w:p>
    <w:p w:rsidR="00D97A7D" w:rsidRPr="00A11272" w:rsidRDefault="00D97A7D" w:rsidP="00D97A7D">
      <w:pPr>
        <w:pStyle w:val="a3"/>
        <w:numPr>
          <w:ilvl w:val="1"/>
          <w:numId w:val="3"/>
        </w:numPr>
        <w:ind w:firstLineChars="0"/>
        <w:jc w:val="left"/>
        <w:rPr>
          <w:rFonts w:ascii="Times New Roman" w:hAnsi="Times New Roman" w:cs="Times New Roman"/>
        </w:rPr>
      </w:pPr>
      <w:r w:rsidRPr="00A11272">
        <w:rPr>
          <w:rFonts w:ascii="Times New Roman" w:hAnsi="Times New Roman" w:cs="Times New Roman"/>
        </w:rPr>
        <w:t xml:space="preserve">Schmeling, M., 2009,” Investor sentiment and stock returns: some international </w:t>
      </w:r>
      <w:proofErr w:type="gramStart"/>
      <w:r w:rsidRPr="00A11272">
        <w:rPr>
          <w:rFonts w:ascii="Times New Roman" w:hAnsi="Times New Roman" w:cs="Times New Roman"/>
        </w:rPr>
        <w:t>evidence</w:t>
      </w:r>
      <w:r w:rsidR="001240B6" w:rsidRPr="00A11272">
        <w:rPr>
          <w:rFonts w:ascii="Times New Roman" w:hAnsi="Times New Roman" w:cs="Times New Roman"/>
        </w:rPr>
        <w:t>[</w:t>
      </w:r>
      <w:proofErr w:type="gramEnd"/>
      <w:r w:rsidR="001240B6" w:rsidRPr="00A11272">
        <w:rPr>
          <w:rFonts w:ascii="Times New Roman" w:hAnsi="Times New Roman" w:cs="Times New Roman"/>
        </w:rPr>
        <w:t xml:space="preserve">J]. [J]. </w:t>
      </w:r>
      <w:r w:rsidRPr="00A11272">
        <w:rPr>
          <w:rFonts w:ascii="Times New Roman" w:hAnsi="Times New Roman" w:cs="Times New Roman"/>
          <w:i/>
        </w:rPr>
        <w:t>Journal of Empirical Finance</w:t>
      </w:r>
      <w:r w:rsidRPr="00A11272">
        <w:rPr>
          <w:rFonts w:ascii="Times New Roman" w:hAnsi="Times New Roman" w:cs="Times New Roman"/>
        </w:rPr>
        <w:t>, Vol.16, No.3, pp.394-408.</w:t>
      </w:r>
    </w:p>
    <w:p w:rsidR="00924812" w:rsidRPr="00A11272" w:rsidRDefault="00924812" w:rsidP="0058694F">
      <w:pPr>
        <w:pStyle w:val="a3"/>
        <w:numPr>
          <w:ilvl w:val="1"/>
          <w:numId w:val="3"/>
        </w:numPr>
        <w:ind w:firstLineChars="0"/>
        <w:jc w:val="left"/>
        <w:rPr>
          <w:rFonts w:ascii="Times New Roman" w:hAnsi="Times New Roman" w:cs="Times New Roman"/>
        </w:rPr>
      </w:pPr>
      <w:r w:rsidRPr="00A11272">
        <w:rPr>
          <w:rFonts w:ascii="Times New Roman" w:hAnsi="Times New Roman" w:cs="Times New Roman"/>
        </w:rPr>
        <w:t>Baker</w:t>
      </w:r>
      <w:r w:rsidR="00AE41A9" w:rsidRPr="00A11272">
        <w:rPr>
          <w:rFonts w:ascii="Times New Roman" w:hAnsi="Times New Roman" w:cs="Times New Roman"/>
        </w:rPr>
        <w:t>,</w:t>
      </w:r>
      <w:r w:rsidRPr="00A11272">
        <w:rPr>
          <w:rFonts w:ascii="Times New Roman" w:hAnsi="Times New Roman" w:cs="Times New Roman"/>
        </w:rPr>
        <w:t xml:space="preserve"> M</w:t>
      </w:r>
      <w:r w:rsidR="00AE41A9" w:rsidRPr="00A11272">
        <w:rPr>
          <w:rFonts w:ascii="Times New Roman" w:hAnsi="Times New Roman" w:cs="Times New Roman"/>
        </w:rPr>
        <w:t>.</w:t>
      </w:r>
      <w:r w:rsidRPr="00A11272">
        <w:rPr>
          <w:rFonts w:ascii="Times New Roman" w:hAnsi="Times New Roman" w:cs="Times New Roman"/>
        </w:rPr>
        <w:t xml:space="preserve">, </w:t>
      </w:r>
      <w:proofErr w:type="spellStart"/>
      <w:r w:rsidR="00AE41A9" w:rsidRPr="00A11272">
        <w:rPr>
          <w:rFonts w:ascii="Times New Roman" w:hAnsi="Times New Roman" w:cs="Times New Roman"/>
        </w:rPr>
        <w:t>J.</w:t>
      </w:r>
      <w:r w:rsidRPr="00A11272">
        <w:rPr>
          <w:rFonts w:ascii="Times New Roman" w:hAnsi="Times New Roman" w:cs="Times New Roman"/>
        </w:rPr>
        <w:t>Wurgler</w:t>
      </w:r>
      <w:proofErr w:type="spellEnd"/>
      <w:r w:rsidRPr="00A11272">
        <w:rPr>
          <w:rFonts w:ascii="Times New Roman" w:hAnsi="Times New Roman" w:cs="Times New Roman"/>
        </w:rPr>
        <w:t xml:space="preserve">, </w:t>
      </w:r>
      <w:r w:rsidR="00AE41A9" w:rsidRPr="00A11272">
        <w:rPr>
          <w:rFonts w:ascii="Times New Roman" w:hAnsi="Times New Roman" w:cs="Times New Roman"/>
        </w:rPr>
        <w:t xml:space="preserve">and Y. </w:t>
      </w:r>
      <w:r w:rsidRPr="00A11272">
        <w:rPr>
          <w:rFonts w:ascii="Times New Roman" w:hAnsi="Times New Roman" w:cs="Times New Roman"/>
        </w:rPr>
        <w:t>Yuan</w:t>
      </w:r>
      <w:r w:rsidR="001240B6" w:rsidRPr="00A11272">
        <w:rPr>
          <w:rFonts w:ascii="Times New Roman" w:hAnsi="Times New Roman" w:cs="Times New Roman"/>
        </w:rPr>
        <w:t xml:space="preserve">. </w:t>
      </w:r>
      <w:r w:rsidRPr="00A11272">
        <w:rPr>
          <w:rFonts w:ascii="Times New Roman" w:hAnsi="Times New Roman" w:cs="Times New Roman"/>
        </w:rPr>
        <w:t xml:space="preserve">Global, local and contagious investor </w:t>
      </w:r>
      <w:proofErr w:type="gramStart"/>
      <w:r w:rsidRPr="00A11272">
        <w:rPr>
          <w:rFonts w:ascii="Times New Roman" w:hAnsi="Times New Roman" w:cs="Times New Roman"/>
        </w:rPr>
        <w:t>sentiment</w:t>
      </w:r>
      <w:r w:rsidR="001240B6" w:rsidRPr="00A11272">
        <w:rPr>
          <w:rFonts w:ascii="Times New Roman" w:hAnsi="Times New Roman" w:cs="Times New Roman"/>
        </w:rPr>
        <w:t>[</w:t>
      </w:r>
      <w:proofErr w:type="gramEnd"/>
      <w:r w:rsidR="001240B6" w:rsidRPr="00A11272">
        <w:rPr>
          <w:rFonts w:ascii="Times New Roman" w:hAnsi="Times New Roman" w:cs="Times New Roman"/>
        </w:rPr>
        <w:t xml:space="preserve">J]. </w:t>
      </w:r>
      <w:r w:rsidRPr="00A11272">
        <w:rPr>
          <w:rFonts w:ascii="Times New Roman" w:hAnsi="Times New Roman" w:cs="Times New Roman"/>
          <w:i/>
        </w:rPr>
        <w:t>Journal of Financial Economics</w:t>
      </w:r>
      <w:r w:rsidRPr="00A11272">
        <w:rPr>
          <w:rFonts w:ascii="Times New Roman" w:hAnsi="Times New Roman" w:cs="Times New Roman"/>
        </w:rPr>
        <w:t xml:space="preserve">, </w:t>
      </w:r>
      <w:r w:rsidR="001240B6" w:rsidRPr="00A11272">
        <w:rPr>
          <w:rFonts w:ascii="Times New Roman" w:hAnsi="Times New Roman" w:cs="Times New Roman"/>
        </w:rPr>
        <w:t xml:space="preserve">2012, </w:t>
      </w:r>
      <w:r w:rsidR="00AE41A9" w:rsidRPr="00A11272">
        <w:rPr>
          <w:rFonts w:ascii="Times New Roman" w:hAnsi="Times New Roman" w:cs="Times New Roman"/>
        </w:rPr>
        <w:t>Vol.</w:t>
      </w:r>
      <w:r w:rsidRPr="00A11272">
        <w:rPr>
          <w:rFonts w:ascii="Times New Roman" w:hAnsi="Times New Roman" w:cs="Times New Roman"/>
        </w:rPr>
        <w:t>104</w:t>
      </w:r>
      <w:r w:rsidR="00AE41A9" w:rsidRPr="00A11272">
        <w:rPr>
          <w:rFonts w:ascii="Times New Roman" w:hAnsi="Times New Roman" w:cs="Times New Roman"/>
        </w:rPr>
        <w:t>, No.</w:t>
      </w:r>
      <w:r w:rsidRPr="00A11272">
        <w:rPr>
          <w:rFonts w:ascii="Times New Roman" w:hAnsi="Times New Roman" w:cs="Times New Roman"/>
        </w:rPr>
        <w:t>2</w:t>
      </w:r>
      <w:r w:rsidR="00AE41A9" w:rsidRPr="00A11272">
        <w:rPr>
          <w:rFonts w:ascii="Times New Roman" w:hAnsi="Times New Roman" w:cs="Times New Roman"/>
        </w:rPr>
        <w:t>, pp.</w:t>
      </w:r>
      <w:r w:rsidRPr="00A11272">
        <w:rPr>
          <w:rFonts w:ascii="Times New Roman" w:hAnsi="Times New Roman" w:cs="Times New Roman"/>
        </w:rPr>
        <w:t>272–287.</w:t>
      </w:r>
    </w:p>
    <w:p w:rsidR="00B95CFE" w:rsidRPr="00A11272" w:rsidRDefault="00B95CFE" w:rsidP="00B95CFE">
      <w:pPr>
        <w:pStyle w:val="a3"/>
        <w:numPr>
          <w:ilvl w:val="1"/>
          <w:numId w:val="3"/>
        </w:numPr>
        <w:ind w:firstLineChars="0"/>
        <w:jc w:val="left"/>
        <w:rPr>
          <w:rFonts w:ascii="Times New Roman" w:hAnsi="Times New Roman" w:cs="Times New Roman"/>
        </w:rPr>
      </w:pPr>
      <w:r w:rsidRPr="00A11272">
        <w:rPr>
          <w:rFonts w:ascii="Times New Roman" w:hAnsi="Times New Roman" w:cs="Times New Roman"/>
        </w:rPr>
        <w:lastRenderedPageBreak/>
        <w:t>Ding, C. G., H. J. Wang, and M. C. Lee</w:t>
      </w:r>
      <w:r w:rsidR="001240B6" w:rsidRPr="00A11272">
        <w:rPr>
          <w:rFonts w:ascii="Times New Roman" w:hAnsi="Times New Roman" w:cs="Times New Roman"/>
        </w:rPr>
        <w:t xml:space="preserve">. </w:t>
      </w:r>
      <w:r w:rsidRPr="00A11272">
        <w:rPr>
          <w:rFonts w:ascii="Times New Roman" w:hAnsi="Times New Roman" w:cs="Times New Roman"/>
        </w:rPr>
        <w:t xml:space="preserve">How does the change in investor sentiment over time affect stock </w:t>
      </w:r>
      <w:proofErr w:type="gramStart"/>
      <w:r w:rsidRPr="00A11272">
        <w:rPr>
          <w:rFonts w:ascii="Times New Roman" w:hAnsi="Times New Roman" w:cs="Times New Roman"/>
        </w:rPr>
        <w:t>returns</w:t>
      </w:r>
      <w:r w:rsidR="001240B6" w:rsidRPr="00A11272">
        <w:rPr>
          <w:rFonts w:ascii="Times New Roman" w:hAnsi="Times New Roman" w:cs="Times New Roman"/>
        </w:rPr>
        <w:t>[</w:t>
      </w:r>
      <w:proofErr w:type="gramEnd"/>
      <w:r w:rsidR="001240B6" w:rsidRPr="00A11272">
        <w:rPr>
          <w:rFonts w:ascii="Times New Roman" w:hAnsi="Times New Roman" w:cs="Times New Roman"/>
        </w:rPr>
        <w:t>J].</w:t>
      </w:r>
      <w:r w:rsidRPr="00A11272">
        <w:rPr>
          <w:rFonts w:ascii="Times New Roman" w:hAnsi="Times New Roman" w:cs="Times New Roman"/>
          <w:i/>
        </w:rPr>
        <w:t>Emerging Markets Finance &amp; Trade</w:t>
      </w:r>
      <w:r w:rsidRPr="00A11272">
        <w:rPr>
          <w:rFonts w:ascii="Times New Roman" w:hAnsi="Times New Roman" w:cs="Times New Roman"/>
        </w:rPr>
        <w:t>,</w:t>
      </w:r>
      <w:r w:rsidR="001240B6" w:rsidRPr="00A11272">
        <w:rPr>
          <w:rFonts w:ascii="Times New Roman" w:hAnsi="Times New Roman" w:cs="Times New Roman"/>
        </w:rPr>
        <w:t xml:space="preserve">2014, </w:t>
      </w:r>
      <w:r w:rsidRPr="00A11272">
        <w:rPr>
          <w:rFonts w:ascii="Times New Roman" w:hAnsi="Times New Roman" w:cs="Times New Roman"/>
        </w:rPr>
        <w:t>Vol.50, No.2, pp.144-158.</w:t>
      </w:r>
    </w:p>
    <w:p w:rsidR="00924812" w:rsidRPr="00A11272" w:rsidRDefault="00924812" w:rsidP="0058694F">
      <w:pPr>
        <w:pStyle w:val="a3"/>
        <w:numPr>
          <w:ilvl w:val="1"/>
          <w:numId w:val="3"/>
        </w:numPr>
        <w:ind w:firstLineChars="0"/>
        <w:jc w:val="left"/>
        <w:rPr>
          <w:rFonts w:ascii="Times New Roman" w:hAnsi="Times New Roman" w:cs="Times New Roman"/>
        </w:rPr>
      </w:pPr>
      <w:r w:rsidRPr="00A11272">
        <w:rPr>
          <w:rFonts w:ascii="Times New Roman" w:hAnsi="Times New Roman" w:cs="Times New Roman"/>
        </w:rPr>
        <w:t>Brown</w:t>
      </w:r>
      <w:r w:rsidR="007862BC" w:rsidRPr="00A11272">
        <w:rPr>
          <w:rFonts w:ascii="Times New Roman" w:hAnsi="Times New Roman" w:cs="Times New Roman"/>
        </w:rPr>
        <w:t>,</w:t>
      </w:r>
      <w:r w:rsidRPr="00A11272">
        <w:rPr>
          <w:rFonts w:ascii="Times New Roman" w:hAnsi="Times New Roman" w:cs="Times New Roman"/>
        </w:rPr>
        <w:t xml:space="preserve"> S</w:t>
      </w:r>
      <w:r w:rsidR="007862BC" w:rsidRPr="00A11272">
        <w:rPr>
          <w:rFonts w:ascii="Times New Roman" w:hAnsi="Times New Roman" w:cs="Times New Roman"/>
        </w:rPr>
        <w:t>.</w:t>
      </w:r>
      <w:r w:rsidRPr="00A11272">
        <w:rPr>
          <w:rFonts w:ascii="Times New Roman" w:hAnsi="Times New Roman" w:cs="Times New Roman"/>
        </w:rPr>
        <w:t xml:space="preserve">, </w:t>
      </w:r>
      <w:r w:rsidR="007862BC" w:rsidRPr="00A11272">
        <w:rPr>
          <w:rFonts w:ascii="Times New Roman" w:hAnsi="Times New Roman" w:cs="Times New Roman"/>
        </w:rPr>
        <w:t xml:space="preserve">W. N. </w:t>
      </w:r>
      <w:proofErr w:type="spellStart"/>
      <w:r w:rsidRPr="00A11272">
        <w:rPr>
          <w:rFonts w:ascii="Times New Roman" w:hAnsi="Times New Roman" w:cs="Times New Roman"/>
        </w:rPr>
        <w:t>Goetzmann</w:t>
      </w:r>
      <w:proofErr w:type="spellEnd"/>
      <w:r w:rsidRPr="00A11272">
        <w:rPr>
          <w:rFonts w:ascii="Times New Roman" w:hAnsi="Times New Roman" w:cs="Times New Roman"/>
        </w:rPr>
        <w:t xml:space="preserve">, </w:t>
      </w:r>
      <w:r w:rsidR="007862BC" w:rsidRPr="00A11272">
        <w:rPr>
          <w:rFonts w:ascii="Times New Roman" w:hAnsi="Times New Roman" w:cs="Times New Roman"/>
        </w:rPr>
        <w:t xml:space="preserve">N. </w:t>
      </w:r>
      <w:proofErr w:type="spellStart"/>
      <w:r w:rsidRPr="00A11272">
        <w:rPr>
          <w:rFonts w:ascii="Times New Roman" w:hAnsi="Times New Roman" w:cs="Times New Roman"/>
        </w:rPr>
        <w:t>Shiraishi</w:t>
      </w:r>
      <w:proofErr w:type="spellEnd"/>
      <w:r w:rsidRPr="00A11272">
        <w:rPr>
          <w:rFonts w:ascii="Times New Roman" w:hAnsi="Times New Roman" w:cs="Times New Roman"/>
        </w:rPr>
        <w:t>, et al</w:t>
      </w:r>
      <w:proofErr w:type="gramStart"/>
      <w:r w:rsidR="007862BC" w:rsidRPr="00A11272">
        <w:rPr>
          <w:rFonts w:ascii="Times New Roman" w:hAnsi="Times New Roman" w:cs="Times New Roman"/>
        </w:rPr>
        <w:t>, ”</w:t>
      </w:r>
      <w:proofErr w:type="gramEnd"/>
      <w:r w:rsidRPr="00A11272">
        <w:rPr>
          <w:rFonts w:ascii="Times New Roman" w:hAnsi="Times New Roman" w:cs="Times New Roman"/>
        </w:rPr>
        <w:t>Investor sentiment in Japanese and U.S. daily mutual fund flows</w:t>
      </w:r>
      <w:r w:rsidR="001240B6" w:rsidRPr="00A11272">
        <w:rPr>
          <w:rFonts w:ascii="Times New Roman" w:hAnsi="Times New Roman" w:cs="Times New Roman"/>
        </w:rPr>
        <w:t xml:space="preserve">[J]. </w:t>
      </w:r>
      <w:r w:rsidRPr="00A11272">
        <w:rPr>
          <w:rFonts w:ascii="Times New Roman" w:hAnsi="Times New Roman" w:cs="Times New Roman"/>
          <w:i/>
        </w:rPr>
        <w:t>Social Science Electronic Publishing</w:t>
      </w:r>
      <w:r w:rsidR="001240B6" w:rsidRPr="00A11272">
        <w:rPr>
          <w:rFonts w:ascii="Times New Roman" w:hAnsi="Times New Roman" w:cs="Times New Roman"/>
          <w:i/>
        </w:rPr>
        <w:t xml:space="preserve">, </w:t>
      </w:r>
      <w:r w:rsidR="001240B6" w:rsidRPr="00A11272">
        <w:rPr>
          <w:rFonts w:ascii="Times New Roman" w:hAnsi="Times New Roman" w:cs="Times New Roman"/>
        </w:rPr>
        <w:t>2011</w:t>
      </w:r>
      <w:proofErr w:type="gramStart"/>
      <w:r w:rsidR="001240B6" w:rsidRPr="00A11272">
        <w:rPr>
          <w:rFonts w:ascii="Times New Roman" w:hAnsi="Times New Roman" w:cs="Times New Roman"/>
        </w:rPr>
        <w:t>,</w:t>
      </w:r>
      <w:r w:rsidRPr="00A11272">
        <w:rPr>
          <w:rFonts w:ascii="Times New Roman" w:hAnsi="Times New Roman" w:cs="Times New Roman"/>
        </w:rPr>
        <w:t>.</w:t>
      </w:r>
      <w:proofErr w:type="gramEnd"/>
    </w:p>
    <w:p w:rsidR="00B95CFE" w:rsidRPr="00A11272" w:rsidRDefault="00682FB4" w:rsidP="00B95CFE">
      <w:pPr>
        <w:pStyle w:val="a3"/>
        <w:numPr>
          <w:ilvl w:val="1"/>
          <w:numId w:val="3"/>
        </w:numPr>
        <w:ind w:firstLineChars="0"/>
        <w:jc w:val="left"/>
        <w:rPr>
          <w:rFonts w:ascii="Times New Roman" w:hAnsi="Times New Roman" w:cs="Times New Roman"/>
        </w:rPr>
      </w:pPr>
      <w:r w:rsidRPr="00A11272">
        <w:rPr>
          <w:rFonts w:ascii="Times New Roman" w:hAnsi="Times New Roman" w:cs="Times New Roman"/>
          <w:color w:val="333333"/>
          <w:szCs w:val="21"/>
          <w:shd w:val="clear" w:color="auto" w:fill="FFFFFF"/>
        </w:rPr>
        <w:t>刘维奇</w:t>
      </w:r>
      <w:r w:rsidRPr="00A11272">
        <w:rPr>
          <w:rFonts w:ascii="Times New Roman" w:hAnsi="Times New Roman" w:cs="Times New Roman"/>
          <w:color w:val="333333"/>
          <w:szCs w:val="21"/>
          <w:shd w:val="clear" w:color="auto" w:fill="FFFFFF"/>
        </w:rPr>
        <w:t>,</w:t>
      </w:r>
      <w:r w:rsidRPr="00A11272">
        <w:rPr>
          <w:rFonts w:ascii="Times New Roman" w:hAnsi="Times New Roman" w:cs="Times New Roman"/>
          <w:color w:val="333333"/>
          <w:szCs w:val="21"/>
          <w:shd w:val="clear" w:color="auto" w:fill="FFFFFF"/>
        </w:rPr>
        <w:t>刘新新</w:t>
      </w:r>
      <w:r w:rsidRPr="00A11272">
        <w:rPr>
          <w:rFonts w:ascii="Times New Roman" w:hAnsi="Times New Roman" w:cs="Times New Roman"/>
          <w:color w:val="333333"/>
          <w:szCs w:val="21"/>
          <w:shd w:val="clear" w:color="auto" w:fill="FFFFFF"/>
        </w:rPr>
        <w:t xml:space="preserve">. </w:t>
      </w:r>
      <w:r w:rsidRPr="00A11272">
        <w:rPr>
          <w:rFonts w:ascii="Times New Roman" w:hAnsi="Times New Roman" w:cs="Times New Roman"/>
          <w:color w:val="333333"/>
          <w:szCs w:val="21"/>
          <w:shd w:val="clear" w:color="auto" w:fill="FFFFFF"/>
        </w:rPr>
        <w:t>个人和机构投资者情绪与股票收益</w:t>
      </w:r>
      <w:r w:rsidRPr="00A11272">
        <w:rPr>
          <w:rFonts w:ascii="Times New Roman" w:hAnsi="Times New Roman" w:cs="Times New Roman"/>
          <w:color w:val="333333"/>
          <w:szCs w:val="21"/>
          <w:shd w:val="clear" w:color="auto" w:fill="FFFFFF"/>
        </w:rPr>
        <w:t>——</w:t>
      </w:r>
      <w:r w:rsidRPr="00A11272">
        <w:rPr>
          <w:rFonts w:ascii="Times New Roman" w:hAnsi="Times New Roman" w:cs="Times New Roman"/>
          <w:color w:val="333333"/>
          <w:szCs w:val="21"/>
          <w:shd w:val="clear" w:color="auto" w:fill="FFFFFF"/>
        </w:rPr>
        <w:t>基于上证</w:t>
      </w:r>
      <w:r w:rsidRPr="00A11272">
        <w:rPr>
          <w:rFonts w:ascii="Times New Roman" w:hAnsi="Times New Roman" w:cs="Times New Roman"/>
          <w:color w:val="333333"/>
          <w:szCs w:val="21"/>
          <w:shd w:val="clear" w:color="auto" w:fill="FFFFFF"/>
        </w:rPr>
        <w:t>A</w:t>
      </w:r>
      <w:r w:rsidRPr="00A11272">
        <w:rPr>
          <w:rFonts w:ascii="Times New Roman" w:hAnsi="Times New Roman" w:cs="Times New Roman"/>
          <w:color w:val="333333"/>
          <w:szCs w:val="21"/>
          <w:shd w:val="clear" w:color="auto" w:fill="FFFFFF"/>
        </w:rPr>
        <w:t>股市场的研究</w:t>
      </w:r>
      <w:r w:rsidRPr="00A11272">
        <w:rPr>
          <w:rFonts w:ascii="Times New Roman" w:hAnsi="Times New Roman" w:cs="Times New Roman"/>
          <w:color w:val="333333"/>
          <w:szCs w:val="21"/>
          <w:shd w:val="clear" w:color="auto" w:fill="FFFFFF"/>
        </w:rPr>
        <w:t xml:space="preserve">[J]. </w:t>
      </w:r>
      <w:r w:rsidRPr="00A11272">
        <w:rPr>
          <w:rFonts w:ascii="Times New Roman" w:hAnsi="Times New Roman" w:cs="Times New Roman"/>
          <w:color w:val="333333"/>
          <w:szCs w:val="21"/>
          <w:shd w:val="clear" w:color="auto" w:fill="FFFFFF"/>
        </w:rPr>
        <w:t>管理科学学报</w:t>
      </w:r>
      <w:r w:rsidRPr="00A11272">
        <w:rPr>
          <w:rFonts w:ascii="Times New Roman" w:hAnsi="Times New Roman" w:cs="Times New Roman"/>
          <w:color w:val="333333"/>
          <w:szCs w:val="21"/>
          <w:shd w:val="clear" w:color="auto" w:fill="FFFFFF"/>
        </w:rPr>
        <w:t>,2014,17(03):70-87.</w:t>
      </w:r>
    </w:p>
    <w:p w:rsidR="005431D3" w:rsidRDefault="005431D3" w:rsidP="00924812">
      <w:pPr>
        <w:ind w:left="845" w:hanging="420"/>
      </w:pPr>
    </w:p>
    <w:p w:rsidR="005431D3" w:rsidRDefault="005431D3" w:rsidP="005431D3">
      <w:pPr>
        <w:jc w:val="center"/>
        <w:rPr>
          <w:rFonts w:ascii="Times New Roman" w:hAnsi="Times New Roman" w:cs="Times New Roman"/>
          <w:iCs/>
          <w:kern w:val="0"/>
          <w:sz w:val="22"/>
        </w:rPr>
      </w:pPr>
      <w:r>
        <w:br w:type="page"/>
      </w:r>
    </w:p>
    <w:p w:rsidR="005431D3" w:rsidRPr="00221A51" w:rsidRDefault="005431D3" w:rsidP="005431D3">
      <w:pPr>
        <w:jc w:val="center"/>
        <w:rPr>
          <w:rFonts w:ascii="Times New Roman" w:hAnsi="Times New Roman" w:cs="Times New Roman"/>
          <w:iCs/>
          <w:kern w:val="0"/>
          <w:sz w:val="22"/>
        </w:rPr>
      </w:pPr>
      <w:proofErr w:type="spellStart"/>
      <w:r w:rsidRPr="0008387A">
        <w:rPr>
          <w:rFonts w:ascii="Times New Roman" w:hAnsi="Times New Roman" w:cs="Times New Roman"/>
          <w:iCs/>
          <w:kern w:val="0"/>
          <w:sz w:val="22"/>
        </w:rPr>
        <w:lastRenderedPageBreak/>
        <w:t>Mr</w:t>
      </w:r>
      <w:proofErr w:type="spellEnd"/>
      <w:r w:rsidRPr="0008387A">
        <w:rPr>
          <w:rFonts w:ascii="Times New Roman" w:hAnsi="Times New Roman" w:cs="Times New Roman"/>
          <w:iCs/>
          <w:kern w:val="0"/>
          <w:sz w:val="22"/>
        </w:rPr>
        <w:t xml:space="preserve"> </w:t>
      </w:r>
      <w:proofErr w:type="spellStart"/>
      <w:r w:rsidRPr="0008387A">
        <w:rPr>
          <w:rFonts w:ascii="Times New Roman" w:hAnsi="Times New Roman" w:cs="Times New Roman"/>
          <w:iCs/>
          <w:kern w:val="0"/>
          <w:sz w:val="22"/>
        </w:rPr>
        <w:t>King’sIndexTest</w:t>
      </w:r>
      <w:proofErr w:type="spellEnd"/>
      <w:r w:rsidRPr="00221A51">
        <w:rPr>
          <w:rFonts w:ascii="Times New Roman" w:hAnsi="Times New Roman" w:cs="Times New Roman"/>
          <w:iCs/>
          <w:kern w:val="0"/>
          <w:sz w:val="22"/>
        </w:rPr>
        <w:t xml:space="preserve">: Econometric Analysis of </w:t>
      </w:r>
      <w:proofErr w:type="spellStart"/>
      <w:r>
        <w:rPr>
          <w:rFonts w:ascii="Times New Roman" w:hAnsi="Times New Roman" w:cs="Times New Roman" w:hint="eastAsia"/>
          <w:iCs/>
          <w:kern w:val="0"/>
          <w:sz w:val="22"/>
        </w:rPr>
        <w:t>R</w:t>
      </w:r>
      <w:r w:rsidRPr="00221A51">
        <w:rPr>
          <w:rFonts w:ascii="Times New Roman" w:hAnsi="Times New Roman" w:cs="Times New Roman"/>
          <w:iCs/>
          <w:kern w:val="0"/>
          <w:sz w:val="22"/>
        </w:rPr>
        <w:t>etail</w:t>
      </w:r>
      <w:r w:rsidRPr="006F6458">
        <w:rPr>
          <w:rFonts w:ascii="Times New Roman" w:hAnsi="Times New Roman" w:cs="Times New Roman" w:hint="eastAsia"/>
          <w:iCs/>
          <w:kern w:val="0"/>
          <w:sz w:val="22"/>
        </w:rPr>
        <w:t>I</w:t>
      </w:r>
      <w:r w:rsidRPr="006F6458">
        <w:rPr>
          <w:rFonts w:ascii="Times New Roman" w:hAnsi="Times New Roman" w:cs="Times New Roman"/>
          <w:iCs/>
          <w:kern w:val="0"/>
          <w:sz w:val="22"/>
        </w:rPr>
        <w:t>nvestor</w:t>
      </w:r>
      <w:proofErr w:type="spellEnd"/>
      <w:r w:rsidRPr="006F6458">
        <w:rPr>
          <w:rFonts w:ascii="Times New Roman" w:hAnsi="Times New Roman" w:cs="Times New Roman"/>
          <w:iCs/>
          <w:kern w:val="0"/>
          <w:sz w:val="22"/>
        </w:rPr>
        <w:t xml:space="preserve"> </w:t>
      </w:r>
      <w:proofErr w:type="spellStart"/>
      <w:r w:rsidRPr="006F6458">
        <w:rPr>
          <w:rFonts w:ascii="Times New Roman" w:hAnsi="Times New Roman" w:cs="Times New Roman" w:hint="eastAsia"/>
          <w:iCs/>
          <w:kern w:val="0"/>
          <w:sz w:val="22"/>
        </w:rPr>
        <w:t>S</w:t>
      </w:r>
      <w:r w:rsidRPr="006F6458">
        <w:rPr>
          <w:rFonts w:ascii="Times New Roman" w:hAnsi="Times New Roman" w:cs="Times New Roman"/>
          <w:iCs/>
          <w:kern w:val="0"/>
          <w:sz w:val="22"/>
        </w:rPr>
        <w:t>entiment</w:t>
      </w:r>
      <w:r>
        <w:rPr>
          <w:rFonts w:ascii="Times New Roman" w:hAnsi="Times New Roman" w:cs="Times New Roman" w:hint="eastAsia"/>
          <w:iCs/>
          <w:kern w:val="0"/>
          <w:sz w:val="22"/>
        </w:rPr>
        <w:t>I</w:t>
      </w:r>
      <w:r w:rsidRPr="00221A51">
        <w:rPr>
          <w:rFonts w:ascii="Times New Roman" w:hAnsi="Times New Roman" w:cs="Times New Roman"/>
          <w:iCs/>
          <w:kern w:val="0"/>
          <w:sz w:val="22"/>
        </w:rPr>
        <w:t>ndex</w:t>
      </w:r>
      <w:proofErr w:type="spellEnd"/>
      <w:r w:rsidRPr="00221A51">
        <w:rPr>
          <w:rFonts w:ascii="Times New Roman" w:hAnsi="Times New Roman" w:cs="Times New Roman"/>
          <w:iCs/>
          <w:kern w:val="0"/>
          <w:sz w:val="22"/>
        </w:rPr>
        <w:t xml:space="preserve"> </w:t>
      </w:r>
    </w:p>
    <w:p w:rsidR="005431D3" w:rsidRPr="00221A51" w:rsidRDefault="005431D3" w:rsidP="005431D3">
      <w:pPr>
        <w:jc w:val="center"/>
        <w:rPr>
          <w:rFonts w:ascii="Times New Roman" w:hAnsi="Times New Roman" w:cs="Times New Roman"/>
          <w:iCs/>
          <w:kern w:val="0"/>
          <w:sz w:val="22"/>
        </w:rPr>
      </w:pPr>
      <w:r>
        <w:rPr>
          <w:rFonts w:ascii="Times New Roman" w:hAnsi="Times New Roman" w:cs="Times New Roman"/>
          <w:iCs/>
          <w:kern w:val="0"/>
          <w:sz w:val="22"/>
        </w:rPr>
        <w:t>XXX</w:t>
      </w:r>
    </w:p>
    <w:p w:rsidR="005431D3" w:rsidRDefault="005431D3" w:rsidP="005431D3">
      <w:pPr>
        <w:widowControl/>
        <w:spacing w:line="300" w:lineRule="atLeast"/>
        <w:ind w:firstLineChars="150" w:firstLine="270"/>
        <w:jc w:val="center"/>
        <w:rPr>
          <w:sz w:val="18"/>
          <w:szCs w:val="18"/>
        </w:rPr>
      </w:pPr>
      <w:r>
        <w:rPr>
          <w:rFonts w:hint="eastAsia"/>
          <w:sz w:val="18"/>
          <w:szCs w:val="18"/>
        </w:rPr>
        <w:t>(</w:t>
      </w:r>
      <w:r w:rsidRPr="00CF42C0">
        <w:rPr>
          <w:rFonts w:ascii="Calibri" w:hAnsi="Calibri"/>
          <w:i/>
          <w:sz w:val="18"/>
          <w:szCs w:val="18"/>
        </w:rPr>
        <w:t xml:space="preserve">School of </w:t>
      </w:r>
      <w:r w:rsidRPr="00CF42C0">
        <w:rPr>
          <w:rFonts w:ascii="Calibri" w:hAnsi="Calibri" w:hint="eastAsia"/>
          <w:i/>
          <w:sz w:val="18"/>
          <w:szCs w:val="18"/>
        </w:rPr>
        <w:t>F</w:t>
      </w:r>
      <w:r w:rsidRPr="00CF42C0">
        <w:rPr>
          <w:rFonts w:ascii="Calibri" w:hAnsi="Calibri"/>
          <w:i/>
          <w:sz w:val="18"/>
          <w:szCs w:val="18"/>
        </w:rPr>
        <w:t xml:space="preserve">inance and </w:t>
      </w:r>
      <w:r w:rsidRPr="00CF42C0">
        <w:rPr>
          <w:rFonts w:ascii="Calibri" w:hAnsi="Calibri" w:hint="eastAsia"/>
          <w:i/>
          <w:sz w:val="18"/>
          <w:szCs w:val="18"/>
        </w:rPr>
        <w:t>B</w:t>
      </w:r>
      <w:r w:rsidRPr="00CF42C0">
        <w:rPr>
          <w:rFonts w:ascii="Calibri" w:hAnsi="Calibri"/>
          <w:i/>
          <w:sz w:val="18"/>
          <w:szCs w:val="18"/>
        </w:rPr>
        <w:t>usiness</w:t>
      </w:r>
      <w:r w:rsidRPr="00CF42C0">
        <w:rPr>
          <w:rFonts w:hint="eastAsia"/>
          <w:i/>
          <w:sz w:val="18"/>
          <w:szCs w:val="18"/>
        </w:rPr>
        <w:t>, Shanghai Normal University, Shanghai 200234</w:t>
      </w:r>
      <w:proofErr w:type="gramStart"/>
      <w:r>
        <w:rPr>
          <w:i/>
          <w:sz w:val="18"/>
          <w:szCs w:val="18"/>
        </w:rPr>
        <w:t>,China</w:t>
      </w:r>
      <w:proofErr w:type="gramEnd"/>
      <w:r>
        <w:rPr>
          <w:rFonts w:hint="eastAsia"/>
          <w:sz w:val="18"/>
          <w:szCs w:val="18"/>
        </w:rPr>
        <w:t>)</w:t>
      </w:r>
    </w:p>
    <w:p w:rsidR="005431D3" w:rsidRDefault="005431D3" w:rsidP="005431D3">
      <w:pPr>
        <w:autoSpaceDE w:val="0"/>
        <w:autoSpaceDN w:val="0"/>
        <w:adjustRightInd w:val="0"/>
        <w:rPr>
          <w:rFonts w:ascii="Times New Roman" w:hAnsi="Times New Roman" w:cs="Times New Roman"/>
          <w:b/>
          <w:iCs/>
          <w:kern w:val="0"/>
          <w:szCs w:val="21"/>
        </w:rPr>
      </w:pPr>
    </w:p>
    <w:p w:rsidR="005431D3" w:rsidRDefault="005431D3" w:rsidP="005431D3">
      <w:pPr>
        <w:autoSpaceDE w:val="0"/>
        <w:autoSpaceDN w:val="0"/>
        <w:adjustRightInd w:val="0"/>
        <w:rPr>
          <w:rFonts w:ascii="Times New Roman" w:hAnsi="Times New Roman" w:cs="Times New Roman"/>
          <w:iCs/>
          <w:kern w:val="0"/>
          <w:szCs w:val="21"/>
        </w:rPr>
      </w:pPr>
      <w:r w:rsidRPr="00C55707">
        <w:rPr>
          <w:rFonts w:ascii="Times New Roman" w:hAnsi="Times New Roman" w:cs="Times New Roman"/>
          <w:b/>
          <w:iCs/>
          <w:kern w:val="0"/>
          <w:szCs w:val="21"/>
        </w:rPr>
        <w:t>Abstract</w:t>
      </w:r>
      <w:r w:rsidRPr="00C55707">
        <w:rPr>
          <w:rFonts w:ascii="Times New Roman" w:hAnsi="Times New Roman" w:cs="Times New Roman"/>
          <w:b/>
          <w:iCs/>
          <w:kern w:val="0"/>
          <w:szCs w:val="21"/>
        </w:rPr>
        <w:t>：</w:t>
      </w:r>
      <w:r>
        <w:rPr>
          <w:rFonts w:ascii="Times New Roman" w:hAnsi="Times New Roman" w:cs="Times New Roman"/>
          <w:iCs/>
          <w:kern w:val="0"/>
          <w:szCs w:val="21"/>
        </w:rPr>
        <w:t>T</w:t>
      </w:r>
      <w:r w:rsidRPr="003B3119">
        <w:rPr>
          <w:rFonts w:ascii="Times New Roman" w:hAnsi="Times New Roman" w:cs="Times New Roman"/>
          <w:iCs/>
          <w:kern w:val="0"/>
          <w:szCs w:val="21"/>
        </w:rPr>
        <w:t xml:space="preserve">he effectiveness of the newly constructed </w:t>
      </w:r>
      <w:r w:rsidRPr="00EF32E7">
        <w:rPr>
          <w:rFonts w:ascii="Times New Roman" w:hAnsi="Times New Roman" w:cs="Times New Roman"/>
          <w:iCs/>
          <w:kern w:val="0"/>
          <w:szCs w:val="21"/>
        </w:rPr>
        <w:t>retail investor sentiment index</w:t>
      </w:r>
      <w:r>
        <w:rPr>
          <w:rFonts w:ascii="Times New Roman" w:hAnsi="Times New Roman" w:cs="Times New Roman"/>
          <w:iCs/>
          <w:kern w:val="0"/>
          <w:szCs w:val="21"/>
        </w:rPr>
        <w:t xml:space="preserve"> is evaluated</w:t>
      </w:r>
      <w:r w:rsidRPr="003B3119">
        <w:rPr>
          <w:rFonts w:ascii="Times New Roman" w:hAnsi="Times New Roman" w:cs="Times New Roman"/>
          <w:iCs/>
          <w:kern w:val="0"/>
          <w:szCs w:val="21"/>
        </w:rPr>
        <w:t xml:space="preserve">. </w:t>
      </w:r>
      <w:r w:rsidRPr="00403D09">
        <w:rPr>
          <w:rFonts w:ascii="Times New Roman" w:hAnsi="Times New Roman" w:cs="Times New Roman"/>
          <w:iCs/>
          <w:kern w:val="0"/>
          <w:szCs w:val="21"/>
        </w:rPr>
        <w:t xml:space="preserve">Our main findings can be summarized as follows: </w:t>
      </w:r>
      <w:r w:rsidRPr="003B3119">
        <w:rPr>
          <w:rFonts w:ascii="Times New Roman" w:hAnsi="Times New Roman" w:cs="Times New Roman"/>
          <w:iCs/>
          <w:kern w:val="0"/>
          <w:szCs w:val="21"/>
        </w:rPr>
        <w:t xml:space="preserve">the correlation coefficient of </w:t>
      </w:r>
      <w:r w:rsidRPr="00EF32E7">
        <w:rPr>
          <w:rFonts w:ascii="Times New Roman" w:hAnsi="Times New Roman" w:cs="Times New Roman" w:hint="eastAsia"/>
          <w:iCs/>
          <w:kern w:val="0"/>
          <w:szCs w:val="21"/>
        </w:rPr>
        <w:t>Shanghai Stock Exchange Composite Index</w:t>
      </w:r>
      <w:r w:rsidRPr="003B3119">
        <w:rPr>
          <w:rFonts w:ascii="Times New Roman" w:hAnsi="Times New Roman" w:cs="Times New Roman"/>
          <w:iCs/>
          <w:kern w:val="0"/>
          <w:szCs w:val="21"/>
        </w:rPr>
        <w:t xml:space="preserve"> return and </w:t>
      </w:r>
      <w:r w:rsidRPr="00EF32E7">
        <w:rPr>
          <w:rFonts w:ascii="Times New Roman" w:hAnsi="Times New Roman" w:cs="Times New Roman"/>
          <w:iCs/>
          <w:kern w:val="0"/>
          <w:szCs w:val="21"/>
        </w:rPr>
        <w:t>retail investor sentiment index</w:t>
      </w:r>
      <w:r>
        <w:rPr>
          <w:rFonts w:ascii="Times New Roman" w:hAnsi="Times New Roman" w:cs="Times New Roman"/>
          <w:iCs/>
          <w:kern w:val="0"/>
          <w:szCs w:val="21"/>
        </w:rPr>
        <w:t xml:space="preserve"> is</w:t>
      </w:r>
      <w:r w:rsidRPr="003B3119">
        <w:rPr>
          <w:rFonts w:ascii="Times New Roman" w:hAnsi="Times New Roman" w:cs="Times New Roman"/>
          <w:iCs/>
          <w:kern w:val="0"/>
          <w:szCs w:val="21"/>
        </w:rPr>
        <w:t xml:space="preserve"> 0.81, </w:t>
      </w:r>
      <w:r>
        <w:rPr>
          <w:rFonts w:ascii="Times New Roman" w:hAnsi="Times New Roman" w:cs="Times New Roman"/>
          <w:iCs/>
          <w:kern w:val="0"/>
          <w:szCs w:val="21"/>
        </w:rPr>
        <w:t xml:space="preserve">and it </w:t>
      </w:r>
      <w:r w:rsidRPr="003B3119">
        <w:rPr>
          <w:rFonts w:ascii="Times New Roman" w:hAnsi="Times New Roman" w:cs="Times New Roman"/>
          <w:iCs/>
          <w:kern w:val="0"/>
          <w:szCs w:val="21"/>
        </w:rPr>
        <w:t xml:space="preserve">shows that </w:t>
      </w:r>
      <w:r w:rsidRPr="005B3964">
        <w:rPr>
          <w:rFonts w:ascii="Times New Roman" w:hAnsi="Times New Roman" w:cs="Times New Roman"/>
          <w:iCs/>
          <w:kern w:val="0"/>
          <w:szCs w:val="21"/>
        </w:rPr>
        <w:t>retail investor sentiment index</w:t>
      </w:r>
      <w:r w:rsidRPr="003B3119">
        <w:rPr>
          <w:rFonts w:ascii="Times New Roman" w:hAnsi="Times New Roman" w:cs="Times New Roman"/>
          <w:iCs/>
          <w:kern w:val="0"/>
          <w:szCs w:val="21"/>
        </w:rPr>
        <w:t xml:space="preserve"> can describe the retail investors</w:t>
      </w:r>
      <w:r>
        <w:rPr>
          <w:rFonts w:ascii="Times New Roman" w:hAnsi="Times New Roman" w:cs="Times New Roman"/>
          <w:iCs/>
          <w:kern w:val="0"/>
          <w:szCs w:val="21"/>
        </w:rPr>
        <w:t>’</w:t>
      </w:r>
      <w:r w:rsidRPr="003B3119">
        <w:rPr>
          <w:rFonts w:ascii="Times New Roman" w:hAnsi="Times New Roman" w:cs="Times New Roman"/>
          <w:iCs/>
          <w:kern w:val="0"/>
          <w:szCs w:val="21"/>
        </w:rPr>
        <w:t xml:space="preserve"> emotion</w:t>
      </w:r>
      <w:r>
        <w:rPr>
          <w:rFonts w:ascii="Times New Roman" w:hAnsi="Times New Roman" w:cs="Times New Roman"/>
          <w:iCs/>
          <w:kern w:val="0"/>
          <w:szCs w:val="21"/>
        </w:rPr>
        <w:t xml:space="preserve"> </w:t>
      </w:r>
      <w:proofErr w:type="spellStart"/>
      <w:r>
        <w:rPr>
          <w:rFonts w:ascii="Times New Roman" w:hAnsi="Times New Roman" w:cs="Times New Roman"/>
          <w:iCs/>
          <w:kern w:val="0"/>
          <w:szCs w:val="21"/>
        </w:rPr>
        <w:t>to</w:t>
      </w:r>
      <w:r w:rsidRPr="005B3964">
        <w:rPr>
          <w:rFonts w:ascii="Times New Roman" w:hAnsi="Times New Roman" w:cs="Times New Roman" w:hint="eastAsia"/>
          <w:iCs/>
          <w:kern w:val="0"/>
          <w:szCs w:val="21"/>
        </w:rPr>
        <w:t>Shanghai</w:t>
      </w:r>
      <w:proofErr w:type="spellEnd"/>
      <w:r w:rsidRPr="005B3964">
        <w:rPr>
          <w:rFonts w:ascii="Times New Roman" w:hAnsi="Times New Roman" w:cs="Times New Roman" w:hint="eastAsia"/>
          <w:iCs/>
          <w:kern w:val="0"/>
          <w:szCs w:val="21"/>
        </w:rPr>
        <w:t xml:space="preserve"> Stock Exchange Composite </w:t>
      </w:r>
      <w:proofErr w:type="spellStart"/>
      <w:r w:rsidRPr="005B3964">
        <w:rPr>
          <w:rFonts w:ascii="Times New Roman" w:hAnsi="Times New Roman" w:cs="Times New Roman" w:hint="eastAsia"/>
          <w:iCs/>
          <w:kern w:val="0"/>
          <w:szCs w:val="21"/>
        </w:rPr>
        <w:t>Index</w:t>
      </w:r>
      <w:r w:rsidRPr="005B3964">
        <w:rPr>
          <w:rFonts w:ascii="Times New Roman" w:hAnsi="Times New Roman" w:cs="Times New Roman"/>
          <w:iCs/>
          <w:kern w:val="0"/>
          <w:szCs w:val="21"/>
        </w:rPr>
        <w:t>return</w:t>
      </w:r>
      <w:proofErr w:type="spellEnd"/>
      <w:r>
        <w:rPr>
          <w:rFonts w:ascii="Times New Roman" w:hAnsi="Times New Roman" w:cs="Times New Roman"/>
          <w:iCs/>
          <w:kern w:val="0"/>
          <w:szCs w:val="21"/>
        </w:rPr>
        <w:t xml:space="preserve">. </w:t>
      </w:r>
      <w:r w:rsidRPr="00917F22">
        <w:rPr>
          <w:rFonts w:ascii="Times New Roman" w:hAnsi="Times New Roman" w:cs="Times New Roman" w:hint="eastAsia"/>
          <w:iCs/>
          <w:kern w:val="0"/>
          <w:szCs w:val="21"/>
        </w:rPr>
        <w:t>A</w:t>
      </w:r>
      <w:r w:rsidRPr="00917F22">
        <w:rPr>
          <w:rFonts w:ascii="Times New Roman" w:hAnsi="Times New Roman" w:cs="Times New Roman"/>
          <w:iCs/>
          <w:kern w:val="0"/>
          <w:szCs w:val="21"/>
        </w:rPr>
        <w:t xml:space="preserve"> signi</w:t>
      </w:r>
      <w:r w:rsidRPr="00917F22">
        <w:rPr>
          <w:rFonts w:ascii="Times New Roman" w:hAnsi="Times New Roman" w:cs="Times New Roman" w:hint="eastAsia"/>
          <w:iCs/>
          <w:kern w:val="0"/>
          <w:szCs w:val="21"/>
        </w:rPr>
        <w:t>fi</w:t>
      </w:r>
      <w:r w:rsidRPr="00917F22">
        <w:rPr>
          <w:rFonts w:ascii="Times New Roman" w:hAnsi="Times New Roman" w:cs="Times New Roman"/>
          <w:iCs/>
          <w:kern w:val="0"/>
          <w:szCs w:val="21"/>
        </w:rPr>
        <w:t xml:space="preserve">cant positive relation between retail investor sentiment index and </w:t>
      </w:r>
      <w:r w:rsidRPr="00917F22">
        <w:rPr>
          <w:rFonts w:ascii="Times New Roman" w:hAnsi="Times New Roman" w:cs="Times New Roman" w:hint="eastAsia"/>
          <w:iCs/>
          <w:kern w:val="0"/>
          <w:szCs w:val="21"/>
        </w:rPr>
        <w:t xml:space="preserve">Shanghai Stock Exchange Composite </w:t>
      </w:r>
      <w:proofErr w:type="spellStart"/>
      <w:r w:rsidRPr="00917F22">
        <w:rPr>
          <w:rFonts w:ascii="Times New Roman" w:hAnsi="Times New Roman" w:cs="Times New Roman" w:hint="eastAsia"/>
          <w:iCs/>
          <w:kern w:val="0"/>
          <w:szCs w:val="21"/>
        </w:rPr>
        <w:t>Index</w:t>
      </w:r>
      <w:r w:rsidRPr="005348CA">
        <w:rPr>
          <w:rFonts w:ascii="Times New Roman" w:hAnsi="Times New Roman" w:cs="Times New Roman"/>
          <w:iCs/>
          <w:kern w:val="0"/>
          <w:szCs w:val="21"/>
        </w:rPr>
        <w:t>excess</w:t>
      </w:r>
      <w:proofErr w:type="spellEnd"/>
      <w:r w:rsidRPr="00917F22">
        <w:rPr>
          <w:rFonts w:ascii="Times New Roman" w:hAnsi="Times New Roman" w:cs="Times New Roman"/>
          <w:iCs/>
          <w:kern w:val="0"/>
          <w:szCs w:val="21"/>
        </w:rPr>
        <w:t xml:space="preserve"> return</w:t>
      </w:r>
      <w:r w:rsidRPr="00917F22">
        <w:rPr>
          <w:rFonts w:ascii="Times New Roman" w:hAnsi="Times New Roman" w:cs="Times New Roman" w:hint="eastAsia"/>
          <w:iCs/>
          <w:kern w:val="0"/>
          <w:szCs w:val="21"/>
        </w:rPr>
        <w:t xml:space="preserve"> is found. T</w:t>
      </w:r>
      <w:r w:rsidRPr="00917F22">
        <w:rPr>
          <w:rFonts w:ascii="Times New Roman" w:hAnsi="Times New Roman" w:cs="Times New Roman"/>
          <w:iCs/>
          <w:kern w:val="0"/>
          <w:szCs w:val="21"/>
        </w:rPr>
        <w:t xml:space="preserve">he </w:t>
      </w:r>
      <w:r w:rsidRPr="0047710A">
        <w:rPr>
          <w:rFonts w:ascii="Times New Roman" w:hAnsi="Times New Roman" w:cs="Times New Roman"/>
          <w:iCs/>
          <w:kern w:val="0"/>
          <w:szCs w:val="21"/>
        </w:rPr>
        <w:t xml:space="preserve">significant </w:t>
      </w:r>
      <w:proofErr w:type="spellStart"/>
      <w:r w:rsidRPr="003B3119">
        <w:rPr>
          <w:rFonts w:ascii="Times New Roman" w:hAnsi="Times New Roman" w:cs="Times New Roman"/>
          <w:iCs/>
          <w:kern w:val="0"/>
          <w:szCs w:val="21"/>
        </w:rPr>
        <w:t>negative</w:t>
      </w:r>
      <w:r w:rsidRPr="00917F22">
        <w:rPr>
          <w:rFonts w:ascii="Times New Roman" w:hAnsi="Times New Roman" w:cs="Times New Roman"/>
          <w:iCs/>
          <w:kern w:val="0"/>
          <w:szCs w:val="21"/>
        </w:rPr>
        <w:t>effect</w:t>
      </w:r>
      <w:proofErr w:type="spellEnd"/>
      <w:r w:rsidRPr="00917F22">
        <w:rPr>
          <w:rFonts w:ascii="Times New Roman" w:hAnsi="Times New Roman" w:cs="Times New Roman"/>
          <w:iCs/>
          <w:kern w:val="0"/>
          <w:szCs w:val="21"/>
        </w:rPr>
        <w:t xml:space="preserve"> of </w:t>
      </w:r>
      <w:r>
        <w:rPr>
          <w:rFonts w:ascii="Times New Roman" w:hAnsi="Times New Roman" w:cs="Times New Roman"/>
          <w:iCs/>
          <w:kern w:val="0"/>
          <w:szCs w:val="21"/>
        </w:rPr>
        <w:t xml:space="preserve">the </w:t>
      </w:r>
      <w:bookmarkStart w:id="21" w:name="OLE_LINK11"/>
      <w:bookmarkStart w:id="22" w:name="OLE_LINK12"/>
      <w:r w:rsidRPr="003B3119">
        <w:rPr>
          <w:rFonts w:ascii="Times New Roman" w:hAnsi="Times New Roman" w:cs="Times New Roman"/>
          <w:iCs/>
          <w:kern w:val="0"/>
          <w:szCs w:val="21"/>
        </w:rPr>
        <w:t xml:space="preserve">one lagged </w:t>
      </w:r>
      <w:r w:rsidRPr="00917F22">
        <w:rPr>
          <w:rFonts w:ascii="Times New Roman" w:hAnsi="Times New Roman" w:cs="Times New Roman"/>
          <w:iCs/>
          <w:kern w:val="0"/>
          <w:szCs w:val="21"/>
        </w:rPr>
        <w:t>retail investor sentiment index</w:t>
      </w:r>
      <w:r>
        <w:rPr>
          <w:rFonts w:ascii="Times New Roman" w:hAnsi="Times New Roman" w:cs="Times New Roman"/>
          <w:iCs/>
          <w:kern w:val="0"/>
          <w:szCs w:val="21"/>
        </w:rPr>
        <w:t xml:space="preserve"> to </w:t>
      </w:r>
      <w:r w:rsidRPr="00917F22">
        <w:rPr>
          <w:rFonts w:ascii="Times New Roman" w:hAnsi="Times New Roman" w:cs="Times New Roman" w:hint="eastAsia"/>
          <w:iCs/>
          <w:kern w:val="0"/>
          <w:szCs w:val="21"/>
        </w:rPr>
        <w:t xml:space="preserve">Shanghai Stock Exchange Composite </w:t>
      </w:r>
      <w:proofErr w:type="spellStart"/>
      <w:r w:rsidRPr="00917F22">
        <w:rPr>
          <w:rFonts w:ascii="Times New Roman" w:hAnsi="Times New Roman" w:cs="Times New Roman" w:hint="eastAsia"/>
          <w:iCs/>
          <w:kern w:val="0"/>
          <w:szCs w:val="21"/>
        </w:rPr>
        <w:t>Index</w:t>
      </w:r>
      <w:r w:rsidRPr="005348CA">
        <w:rPr>
          <w:rFonts w:ascii="Times New Roman" w:hAnsi="Times New Roman" w:cs="Times New Roman"/>
          <w:iCs/>
          <w:kern w:val="0"/>
          <w:szCs w:val="21"/>
        </w:rPr>
        <w:t>excess</w:t>
      </w:r>
      <w:proofErr w:type="spellEnd"/>
      <w:r w:rsidRPr="00917F22">
        <w:rPr>
          <w:rFonts w:ascii="Times New Roman" w:hAnsi="Times New Roman" w:cs="Times New Roman"/>
          <w:iCs/>
          <w:kern w:val="0"/>
          <w:szCs w:val="21"/>
        </w:rPr>
        <w:t xml:space="preserve"> </w:t>
      </w:r>
      <w:proofErr w:type="spellStart"/>
      <w:r w:rsidRPr="00917F22">
        <w:rPr>
          <w:rFonts w:ascii="Times New Roman" w:hAnsi="Times New Roman" w:cs="Times New Roman"/>
          <w:iCs/>
          <w:kern w:val="0"/>
          <w:szCs w:val="21"/>
        </w:rPr>
        <w:t>return</w:t>
      </w:r>
      <w:bookmarkEnd w:id="21"/>
      <w:bookmarkEnd w:id="22"/>
      <w:r w:rsidRPr="00917F22">
        <w:rPr>
          <w:rFonts w:ascii="Times New Roman" w:hAnsi="Times New Roman" w:cs="Times New Roman" w:hint="eastAsia"/>
          <w:iCs/>
          <w:kern w:val="0"/>
          <w:szCs w:val="21"/>
        </w:rPr>
        <w:t>is</w:t>
      </w:r>
      <w:proofErr w:type="spellEnd"/>
      <w:r w:rsidRPr="00917F22">
        <w:rPr>
          <w:rFonts w:ascii="Times New Roman" w:hAnsi="Times New Roman" w:cs="Times New Roman" w:hint="eastAsia"/>
          <w:iCs/>
          <w:kern w:val="0"/>
          <w:szCs w:val="21"/>
        </w:rPr>
        <w:t xml:space="preserve"> also found</w:t>
      </w:r>
      <w:r>
        <w:rPr>
          <w:rFonts w:ascii="Times New Roman" w:hAnsi="Times New Roman" w:cs="Times New Roman"/>
          <w:iCs/>
          <w:kern w:val="0"/>
          <w:szCs w:val="21"/>
        </w:rPr>
        <w:t>. T</w:t>
      </w:r>
      <w:r w:rsidRPr="003B3119">
        <w:rPr>
          <w:rFonts w:ascii="Times New Roman" w:hAnsi="Times New Roman" w:cs="Times New Roman"/>
          <w:iCs/>
          <w:kern w:val="0"/>
          <w:szCs w:val="21"/>
        </w:rPr>
        <w:t xml:space="preserve">he </w:t>
      </w:r>
      <w:r w:rsidRPr="00567D4F">
        <w:rPr>
          <w:rFonts w:ascii="Times New Roman" w:hAnsi="Times New Roman" w:cs="Times New Roman"/>
          <w:iCs/>
          <w:kern w:val="0"/>
          <w:szCs w:val="21"/>
        </w:rPr>
        <w:t xml:space="preserve">goodness of </w:t>
      </w:r>
      <w:proofErr w:type="spellStart"/>
      <w:r w:rsidRPr="00567D4F">
        <w:rPr>
          <w:rFonts w:ascii="Times New Roman" w:hAnsi="Times New Roman" w:cs="Times New Roman"/>
          <w:iCs/>
          <w:kern w:val="0"/>
          <w:szCs w:val="21"/>
        </w:rPr>
        <w:t>fit</w:t>
      </w:r>
      <w:r>
        <w:rPr>
          <w:rFonts w:ascii="Times New Roman" w:hAnsi="Times New Roman" w:cs="Times New Roman"/>
          <w:iCs/>
          <w:kern w:val="0"/>
          <w:szCs w:val="21"/>
        </w:rPr>
        <w:t>is</w:t>
      </w:r>
      <w:proofErr w:type="spellEnd"/>
      <w:r>
        <w:rPr>
          <w:rFonts w:ascii="Times New Roman" w:hAnsi="Times New Roman" w:cs="Times New Roman"/>
          <w:iCs/>
          <w:kern w:val="0"/>
          <w:szCs w:val="21"/>
        </w:rPr>
        <w:t xml:space="preserve"> </w:t>
      </w:r>
      <w:r w:rsidRPr="003B3119">
        <w:rPr>
          <w:rFonts w:ascii="Times New Roman" w:hAnsi="Times New Roman" w:cs="Times New Roman"/>
          <w:iCs/>
          <w:kern w:val="0"/>
          <w:szCs w:val="21"/>
        </w:rPr>
        <w:t xml:space="preserve">0.76, </w:t>
      </w:r>
      <w:r>
        <w:rPr>
          <w:rFonts w:ascii="Times New Roman" w:hAnsi="Times New Roman" w:cs="Times New Roman"/>
          <w:iCs/>
          <w:kern w:val="0"/>
          <w:szCs w:val="21"/>
        </w:rPr>
        <w:t xml:space="preserve">and </w:t>
      </w:r>
      <w:r w:rsidRPr="003B3119">
        <w:rPr>
          <w:rFonts w:ascii="Times New Roman" w:hAnsi="Times New Roman" w:cs="Times New Roman"/>
          <w:iCs/>
          <w:kern w:val="0"/>
          <w:szCs w:val="21"/>
        </w:rPr>
        <w:t xml:space="preserve">shows that the </w:t>
      </w:r>
      <w:r w:rsidRPr="00917F22">
        <w:rPr>
          <w:rFonts w:ascii="Times New Roman" w:hAnsi="Times New Roman" w:cs="Times New Roman"/>
          <w:iCs/>
          <w:kern w:val="0"/>
          <w:szCs w:val="21"/>
        </w:rPr>
        <w:t xml:space="preserve">retail investor sentiment </w:t>
      </w:r>
      <w:proofErr w:type="spellStart"/>
      <w:r w:rsidRPr="00917F22">
        <w:rPr>
          <w:rFonts w:ascii="Times New Roman" w:hAnsi="Times New Roman" w:cs="Times New Roman"/>
          <w:iCs/>
          <w:kern w:val="0"/>
          <w:szCs w:val="21"/>
        </w:rPr>
        <w:t>indexhas</w:t>
      </w:r>
      <w:proofErr w:type="spellEnd"/>
      <w:r w:rsidRPr="00917F22">
        <w:rPr>
          <w:rFonts w:ascii="Times New Roman" w:hAnsi="Times New Roman" w:cs="Times New Roman"/>
          <w:iCs/>
          <w:kern w:val="0"/>
          <w:szCs w:val="21"/>
        </w:rPr>
        <w:t xml:space="preserve"> forecasting power for </w:t>
      </w:r>
      <w:r w:rsidRPr="00905ABB">
        <w:rPr>
          <w:rFonts w:ascii="Times New Roman" w:hAnsi="Times New Roman" w:cs="Times New Roman" w:hint="eastAsia"/>
          <w:iCs/>
          <w:kern w:val="0"/>
          <w:szCs w:val="21"/>
        </w:rPr>
        <w:t>Shanghai Stock Exchange Composite Index</w:t>
      </w:r>
      <w:r w:rsidRPr="005348CA">
        <w:rPr>
          <w:rFonts w:ascii="Times New Roman" w:hAnsi="Times New Roman" w:cs="Times New Roman"/>
          <w:iCs/>
          <w:kern w:val="0"/>
          <w:szCs w:val="21"/>
        </w:rPr>
        <w:t xml:space="preserve"> excess</w:t>
      </w:r>
      <w:r w:rsidRPr="00905ABB">
        <w:rPr>
          <w:rFonts w:ascii="Times New Roman" w:hAnsi="Times New Roman" w:cs="Times New Roman"/>
          <w:iCs/>
          <w:kern w:val="0"/>
          <w:szCs w:val="21"/>
        </w:rPr>
        <w:t xml:space="preserve"> </w:t>
      </w:r>
      <w:proofErr w:type="spellStart"/>
      <w:r w:rsidRPr="00905ABB">
        <w:rPr>
          <w:rFonts w:ascii="Times New Roman" w:hAnsi="Times New Roman" w:cs="Times New Roman"/>
          <w:iCs/>
          <w:kern w:val="0"/>
          <w:szCs w:val="21"/>
        </w:rPr>
        <w:t>return</w:t>
      </w:r>
      <w:r w:rsidRPr="00917F22">
        <w:rPr>
          <w:rFonts w:ascii="Times New Roman" w:hAnsi="Times New Roman" w:cs="Times New Roman"/>
          <w:iCs/>
          <w:kern w:val="0"/>
          <w:szCs w:val="21"/>
        </w:rPr>
        <w:t>.</w:t>
      </w:r>
      <w:r w:rsidRPr="003B3119">
        <w:rPr>
          <w:rFonts w:ascii="Times New Roman" w:hAnsi="Times New Roman" w:cs="Times New Roman"/>
          <w:iCs/>
          <w:kern w:val="0"/>
          <w:szCs w:val="21"/>
        </w:rPr>
        <w:t>The</w:t>
      </w:r>
      <w:proofErr w:type="spellEnd"/>
      <w:r w:rsidRPr="003B3119">
        <w:rPr>
          <w:rFonts w:ascii="Times New Roman" w:hAnsi="Times New Roman" w:cs="Times New Roman"/>
          <w:iCs/>
          <w:kern w:val="0"/>
          <w:szCs w:val="21"/>
        </w:rPr>
        <w:t xml:space="preserve"> results show the effectiveness of </w:t>
      </w:r>
      <w:r w:rsidRPr="00917F22">
        <w:rPr>
          <w:rFonts w:ascii="Times New Roman" w:hAnsi="Times New Roman" w:cs="Times New Roman"/>
          <w:iCs/>
          <w:kern w:val="0"/>
          <w:szCs w:val="21"/>
        </w:rPr>
        <w:t xml:space="preserve">retail investor sentiment </w:t>
      </w:r>
      <w:proofErr w:type="spellStart"/>
      <w:r w:rsidRPr="00917F22">
        <w:rPr>
          <w:rFonts w:ascii="Times New Roman" w:hAnsi="Times New Roman" w:cs="Times New Roman"/>
          <w:iCs/>
          <w:kern w:val="0"/>
          <w:szCs w:val="21"/>
        </w:rPr>
        <w:t>index</w:t>
      </w:r>
      <w:r w:rsidRPr="003B3119">
        <w:rPr>
          <w:rFonts w:ascii="Times New Roman" w:hAnsi="Times New Roman" w:cs="Times New Roman"/>
          <w:iCs/>
          <w:kern w:val="0"/>
          <w:szCs w:val="21"/>
        </w:rPr>
        <w:t>constructed</w:t>
      </w:r>
      <w:proofErr w:type="spellEnd"/>
      <w:r>
        <w:rPr>
          <w:rFonts w:ascii="Times New Roman" w:hAnsi="Times New Roman" w:cs="Times New Roman"/>
          <w:iCs/>
          <w:kern w:val="0"/>
          <w:szCs w:val="21"/>
        </w:rPr>
        <w:t xml:space="preserve"> by</w:t>
      </w:r>
      <w:r w:rsidRPr="003B3119">
        <w:rPr>
          <w:rFonts w:ascii="Times New Roman" w:hAnsi="Times New Roman" w:cs="Times New Roman"/>
          <w:iCs/>
          <w:kern w:val="0"/>
          <w:szCs w:val="21"/>
        </w:rPr>
        <w:t xml:space="preserve"> the </w:t>
      </w:r>
      <w:r w:rsidRPr="00567D4F">
        <w:rPr>
          <w:rFonts w:ascii="Times New Roman" w:hAnsi="Times New Roman" w:cs="Times New Roman"/>
          <w:iCs/>
          <w:kern w:val="0"/>
          <w:szCs w:val="21"/>
        </w:rPr>
        <w:t xml:space="preserve">School of </w:t>
      </w:r>
      <w:r w:rsidRPr="00567D4F">
        <w:rPr>
          <w:rFonts w:ascii="Times New Roman" w:hAnsi="Times New Roman" w:cs="Times New Roman" w:hint="eastAsia"/>
          <w:iCs/>
          <w:kern w:val="0"/>
          <w:szCs w:val="21"/>
        </w:rPr>
        <w:t>F</w:t>
      </w:r>
      <w:r w:rsidRPr="00567D4F">
        <w:rPr>
          <w:rFonts w:ascii="Times New Roman" w:hAnsi="Times New Roman" w:cs="Times New Roman"/>
          <w:iCs/>
          <w:kern w:val="0"/>
          <w:szCs w:val="21"/>
        </w:rPr>
        <w:t xml:space="preserve">inance and </w:t>
      </w:r>
      <w:r w:rsidRPr="00567D4F">
        <w:rPr>
          <w:rFonts w:ascii="Times New Roman" w:hAnsi="Times New Roman" w:cs="Times New Roman" w:hint="eastAsia"/>
          <w:iCs/>
          <w:kern w:val="0"/>
          <w:szCs w:val="21"/>
        </w:rPr>
        <w:t>B</w:t>
      </w:r>
      <w:r w:rsidRPr="00567D4F">
        <w:rPr>
          <w:rFonts w:ascii="Times New Roman" w:hAnsi="Times New Roman" w:cs="Times New Roman"/>
          <w:iCs/>
          <w:kern w:val="0"/>
          <w:szCs w:val="21"/>
        </w:rPr>
        <w:t xml:space="preserve">usiness </w:t>
      </w:r>
      <w:r>
        <w:rPr>
          <w:rFonts w:ascii="Times New Roman" w:hAnsi="Times New Roman" w:cs="Times New Roman"/>
          <w:iCs/>
          <w:kern w:val="0"/>
          <w:szCs w:val="21"/>
        </w:rPr>
        <w:t xml:space="preserve">of Shanghai Normal University and </w:t>
      </w:r>
      <w:r w:rsidRPr="003B3119">
        <w:rPr>
          <w:rFonts w:ascii="Times New Roman" w:hAnsi="Times New Roman" w:cs="Times New Roman"/>
          <w:iCs/>
          <w:kern w:val="0"/>
          <w:szCs w:val="21"/>
        </w:rPr>
        <w:t>the short-term</w:t>
      </w:r>
      <w:r w:rsidRPr="00917F22">
        <w:rPr>
          <w:rFonts w:ascii="Times New Roman" w:hAnsi="Times New Roman" w:cs="Times New Roman"/>
          <w:iCs/>
          <w:kern w:val="0"/>
          <w:szCs w:val="21"/>
        </w:rPr>
        <w:t xml:space="preserve"> forecasting power</w:t>
      </w:r>
      <w:r>
        <w:rPr>
          <w:rFonts w:ascii="Times New Roman" w:hAnsi="Times New Roman" w:cs="Times New Roman"/>
          <w:iCs/>
          <w:kern w:val="0"/>
          <w:szCs w:val="21"/>
        </w:rPr>
        <w:t xml:space="preserve"> to </w:t>
      </w:r>
      <w:r w:rsidRPr="00EF32E7">
        <w:rPr>
          <w:rFonts w:ascii="Times New Roman" w:hAnsi="Times New Roman" w:cs="Times New Roman" w:hint="eastAsia"/>
          <w:iCs/>
          <w:kern w:val="0"/>
          <w:szCs w:val="21"/>
        </w:rPr>
        <w:t xml:space="preserve">Shanghai Stock Exchange Composite </w:t>
      </w:r>
      <w:proofErr w:type="spellStart"/>
      <w:r w:rsidRPr="00EF32E7">
        <w:rPr>
          <w:rFonts w:ascii="Times New Roman" w:hAnsi="Times New Roman" w:cs="Times New Roman" w:hint="eastAsia"/>
          <w:iCs/>
          <w:kern w:val="0"/>
          <w:szCs w:val="21"/>
        </w:rPr>
        <w:t>Index</w:t>
      </w:r>
      <w:r w:rsidRPr="005348CA">
        <w:rPr>
          <w:rFonts w:ascii="Times New Roman" w:hAnsi="Times New Roman" w:cs="Times New Roman"/>
          <w:iCs/>
          <w:kern w:val="0"/>
          <w:szCs w:val="21"/>
        </w:rPr>
        <w:t>excess</w:t>
      </w:r>
      <w:proofErr w:type="spellEnd"/>
      <w:r w:rsidRPr="003B3119">
        <w:rPr>
          <w:rFonts w:ascii="Times New Roman" w:hAnsi="Times New Roman" w:cs="Times New Roman"/>
          <w:iCs/>
          <w:kern w:val="0"/>
          <w:szCs w:val="21"/>
        </w:rPr>
        <w:t xml:space="preserve"> return.</w:t>
      </w:r>
    </w:p>
    <w:p w:rsidR="005431D3" w:rsidRDefault="005431D3" w:rsidP="005431D3">
      <w:pPr>
        <w:autoSpaceDE w:val="0"/>
        <w:autoSpaceDN w:val="0"/>
        <w:adjustRightInd w:val="0"/>
        <w:rPr>
          <w:rFonts w:ascii="Times New Roman" w:hAnsi="Times New Roman" w:cs="Times New Roman"/>
          <w:iCs/>
          <w:kern w:val="0"/>
          <w:szCs w:val="21"/>
        </w:rPr>
      </w:pPr>
    </w:p>
    <w:p w:rsidR="005431D3" w:rsidRPr="00055C1F" w:rsidRDefault="005431D3" w:rsidP="005431D3">
      <w:pPr>
        <w:autoSpaceDE w:val="0"/>
        <w:autoSpaceDN w:val="0"/>
        <w:adjustRightInd w:val="0"/>
        <w:jc w:val="left"/>
        <w:rPr>
          <w:rFonts w:ascii="Times New Roman" w:hAnsi="Times New Roman" w:cs="Times New Roman"/>
          <w:iCs/>
          <w:kern w:val="0"/>
          <w:sz w:val="22"/>
        </w:rPr>
      </w:pPr>
      <w:r w:rsidRPr="00221D70">
        <w:rPr>
          <w:rFonts w:ascii="Times New Roman" w:hAnsi="Times New Roman" w:cs="Times New Roman"/>
          <w:b/>
        </w:rPr>
        <w:t xml:space="preserve">Key Words: </w:t>
      </w:r>
      <w:r w:rsidRPr="00FA33CA">
        <w:rPr>
          <w:rFonts w:ascii="Times New Roman" w:hAnsi="Times New Roman" w:cs="Times New Roman"/>
          <w:iCs/>
          <w:kern w:val="0"/>
          <w:sz w:val="22"/>
        </w:rPr>
        <w:t>investor sentiment</w:t>
      </w:r>
      <w:r>
        <w:rPr>
          <w:rFonts w:ascii="Times New Roman" w:hAnsi="Times New Roman" w:cs="Times New Roman" w:hint="eastAsia"/>
          <w:iCs/>
          <w:kern w:val="0"/>
          <w:sz w:val="22"/>
        </w:rPr>
        <w:t>；</w:t>
      </w:r>
      <w:r w:rsidRPr="00FA33CA">
        <w:rPr>
          <w:rFonts w:ascii="Times New Roman" w:hAnsi="Times New Roman" w:cs="Times New Roman"/>
          <w:iCs/>
          <w:kern w:val="0"/>
          <w:sz w:val="22"/>
        </w:rPr>
        <w:t>retail investor sentiment index</w:t>
      </w:r>
      <w:r>
        <w:rPr>
          <w:rFonts w:ascii="Times New Roman" w:hAnsi="Times New Roman" w:cs="Times New Roman" w:hint="eastAsia"/>
          <w:iCs/>
          <w:kern w:val="0"/>
          <w:sz w:val="22"/>
        </w:rPr>
        <w:t>；</w:t>
      </w:r>
      <w:proofErr w:type="gramStart"/>
      <w:r w:rsidRPr="00FA33CA">
        <w:rPr>
          <w:rFonts w:ascii="Times New Roman" w:hAnsi="Times New Roman" w:cs="Times New Roman"/>
          <w:iCs/>
          <w:kern w:val="0"/>
          <w:sz w:val="22"/>
        </w:rPr>
        <w:t>forecast</w:t>
      </w:r>
      <w:proofErr w:type="gramEnd"/>
    </w:p>
    <w:p w:rsidR="005431D3" w:rsidRPr="005431D3" w:rsidRDefault="005431D3" w:rsidP="005431D3">
      <w:pPr>
        <w:widowControl/>
        <w:jc w:val="left"/>
      </w:pPr>
    </w:p>
    <w:sectPr w:rsidR="005431D3" w:rsidRPr="005431D3" w:rsidSect="001B0BA1">
      <w:footnotePr>
        <w:numFmt w:val="decimalEnclosedCircleChinese"/>
        <w:numRestart w:val="eachPag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93" w:rsidRDefault="00792393" w:rsidP="00C53D4D">
      <w:r>
        <w:separator/>
      </w:r>
    </w:p>
  </w:endnote>
  <w:endnote w:type="continuationSeparator" w:id="0">
    <w:p w:rsidR="00792393" w:rsidRDefault="00792393" w:rsidP="00C5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93" w:rsidRDefault="00792393" w:rsidP="00C53D4D">
      <w:r>
        <w:separator/>
      </w:r>
    </w:p>
  </w:footnote>
  <w:footnote w:type="continuationSeparator" w:id="0">
    <w:p w:rsidR="00792393" w:rsidRDefault="00792393" w:rsidP="00C53D4D">
      <w:r>
        <w:continuationSeparator/>
      </w:r>
    </w:p>
  </w:footnote>
  <w:footnote w:id="1">
    <w:p w:rsidR="001B0BA1" w:rsidRPr="001B0BA1" w:rsidRDefault="001B0BA1" w:rsidP="001B0BA1">
      <w:pPr>
        <w:pStyle w:val="a7"/>
      </w:pPr>
      <w:r>
        <w:rPr>
          <w:rStyle w:val="a8"/>
        </w:rPr>
        <w:footnoteRef/>
      </w:r>
      <w:r>
        <w:t xml:space="preserve"> </w:t>
      </w:r>
      <w:r>
        <w:rPr>
          <w:rFonts w:hint="eastAsia"/>
        </w:rPr>
        <w:t>本文得到了国家自</w:t>
      </w:r>
      <w:proofErr w:type="gramStart"/>
      <w:r>
        <w:rPr>
          <w:rFonts w:hint="eastAsia"/>
        </w:rPr>
        <w:t>科基金</w:t>
      </w:r>
      <w:proofErr w:type="gramEnd"/>
      <w:r>
        <w:rPr>
          <w:rFonts w:hint="eastAsia"/>
        </w:rPr>
        <w:t>项目（</w:t>
      </w:r>
      <w:r w:rsidRPr="001B0BA1">
        <w:rPr>
          <w:rFonts w:asciiTheme="minorEastAsia" w:hAnsiTheme="minorEastAsia"/>
        </w:rPr>
        <w:t>51JJD790008</w:t>
      </w:r>
      <w:r>
        <w:rPr>
          <w:rFonts w:hint="eastAsia"/>
        </w:rPr>
        <w:t>）的资助，特此致谢；我们感谢两位匿名审稿人的宝贵意见、李某某的前期工作，以及包某某等的有益建议。文责自负</w:t>
      </w:r>
    </w:p>
  </w:footnote>
  <w:footnote w:id="2">
    <w:p w:rsidR="002C111F" w:rsidRPr="002C111F" w:rsidRDefault="002C111F">
      <w:pPr>
        <w:pStyle w:val="a7"/>
      </w:pPr>
      <w:r>
        <w:rPr>
          <w:rStyle w:val="a8"/>
        </w:rPr>
        <w:footnoteRef/>
      </w:r>
      <w:r>
        <w:rPr>
          <w:rFonts w:hint="eastAsia"/>
        </w:rPr>
        <w:t>XXX</w:t>
      </w:r>
      <w:r>
        <w:rPr>
          <w:rFonts w:hint="eastAsia"/>
        </w:rPr>
        <w:t>：</w:t>
      </w:r>
      <w:r>
        <w:rPr>
          <w:rFonts w:hint="eastAsia"/>
        </w:rPr>
        <w:t>1969.9-</w:t>
      </w:r>
      <w:r>
        <w:rPr>
          <w:rFonts w:hint="eastAsia"/>
        </w:rPr>
        <w:t>，</w:t>
      </w:r>
      <w:bookmarkStart w:id="0" w:name="_GoBack"/>
      <w:bookmarkEnd w:id="0"/>
      <w:r>
        <w:rPr>
          <w:rFonts w:hint="eastAsia"/>
        </w:rPr>
        <w:t>女，博士，教授，上海师范大学商学院，研究领域：</w:t>
      </w:r>
      <w:r w:rsidR="002369E4">
        <w:rPr>
          <w:rFonts w:hint="eastAsia"/>
        </w:rPr>
        <w:t>风险管理，资产定价。</w:t>
      </w:r>
    </w:p>
  </w:footnote>
  <w:footnote w:id="3">
    <w:p w:rsidR="00AE41A9" w:rsidRDefault="00AE41A9">
      <w:pPr>
        <w:pStyle w:val="a7"/>
      </w:pPr>
      <w:r>
        <w:rPr>
          <w:rStyle w:val="a8"/>
        </w:rPr>
        <w:footnoteRef/>
      </w:r>
      <w:r>
        <w:rPr>
          <w:rFonts w:hint="eastAsia"/>
        </w:rPr>
        <w:t>资料来源于</w:t>
      </w:r>
      <w:proofErr w:type="gramStart"/>
      <w:r>
        <w:rPr>
          <w:rFonts w:hint="eastAsia"/>
        </w:rPr>
        <w:t>微信公众号</w:t>
      </w:r>
      <w:proofErr w:type="gramEnd"/>
      <w:r>
        <w:rPr>
          <w:rFonts w:hint="eastAsia"/>
        </w:rPr>
        <w:t>：金砖咖啡馆。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435A6"/>
    <w:multiLevelType w:val="hybridMultilevel"/>
    <w:tmpl w:val="30023BEA"/>
    <w:lvl w:ilvl="0" w:tplc="EE04C260">
      <w:start w:val="1"/>
      <w:numFmt w:val="decimal"/>
      <w:lvlText w:val="%1."/>
      <w:lvlJc w:val="left"/>
      <w:pPr>
        <w:ind w:left="845" w:hanging="420"/>
      </w:pPr>
      <w:rPr>
        <w:rFonts w:hint="eastAsia"/>
      </w:rPr>
    </w:lvl>
    <w:lvl w:ilvl="1" w:tplc="2ED2B58C">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0DE1858"/>
    <w:multiLevelType w:val="hybridMultilevel"/>
    <w:tmpl w:val="2B84CF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BAB2573"/>
    <w:multiLevelType w:val="hybridMultilevel"/>
    <w:tmpl w:val="19FE9E82"/>
    <w:lvl w:ilvl="0" w:tplc="C69C07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2AB9"/>
    <w:rsid w:val="00002797"/>
    <w:rsid w:val="000112CE"/>
    <w:rsid w:val="00012F56"/>
    <w:rsid w:val="00037501"/>
    <w:rsid w:val="00082806"/>
    <w:rsid w:val="0008387A"/>
    <w:rsid w:val="00093BCC"/>
    <w:rsid w:val="000B4D86"/>
    <w:rsid w:val="000D1E2C"/>
    <w:rsid w:val="000E210F"/>
    <w:rsid w:val="000F4EF9"/>
    <w:rsid w:val="001240B6"/>
    <w:rsid w:val="001272F7"/>
    <w:rsid w:val="001441CA"/>
    <w:rsid w:val="00144FBE"/>
    <w:rsid w:val="0015376F"/>
    <w:rsid w:val="001713E3"/>
    <w:rsid w:val="00186044"/>
    <w:rsid w:val="00190149"/>
    <w:rsid w:val="001A6C2E"/>
    <w:rsid w:val="001B0BA1"/>
    <w:rsid w:val="001B3AA8"/>
    <w:rsid w:val="001B6BE4"/>
    <w:rsid w:val="001E103C"/>
    <w:rsid w:val="001E7C49"/>
    <w:rsid w:val="00221A51"/>
    <w:rsid w:val="00222940"/>
    <w:rsid w:val="00224853"/>
    <w:rsid w:val="002270FE"/>
    <w:rsid w:val="00227860"/>
    <w:rsid w:val="002369E4"/>
    <w:rsid w:val="00253626"/>
    <w:rsid w:val="00254CD6"/>
    <w:rsid w:val="00260269"/>
    <w:rsid w:val="00275A65"/>
    <w:rsid w:val="00276D2B"/>
    <w:rsid w:val="00281468"/>
    <w:rsid w:val="00294B2B"/>
    <w:rsid w:val="002B02D7"/>
    <w:rsid w:val="002C111F"/>
    <w:rsid w:val="002C2734"/>
    <w:rsid w:val="002D483B"/>
    <w:rsid w:val="00312D48"/>
    <w:rsid w:val="00313583"/>
    <w:rsid w:val="00315C74"/>
    <w:rsid w:val="00341DE7"/>
    <w:rsid w:val="0034210C"/>
    <w:rsid w:val="00342338"/>
    <w:rsid w:val="00367F2B"/>
    <w:rsid w:val="003A5FD6"/>
    <w:rsid w:val="003B28BB"/>
    <w:rsid w:val="003B3119"/>
    <w:rsid w:val="003B323B"/>
    <w:rsid w:val="003B5F9A"/>
    <w:rsid w:val="003B65A9"/>
    <w:rsid w:val="003F6761"/>
    <w:rsid w:val="003F7C38"/>
    <w:rsid w:val="00401950"/>
    <w:rsid w:val="00424668"/>
    <w:rsid w:val="00433E81"/>
    <w:rsid w:val="00434C7B"/>
    <w:rsid w:val="004434A9"/>
    <w:rsid w:val="00447D06"/>
    <w:rsid w:val="00467D18"/>
    <w:rsid w:val="0047710A"/>
    <w:rsid w:val="004828D9"/>
    <w:rsid w:val="004A1207"/>
    <w:rsid w:val="004A345E"/>
    <w:rsid w:val="004B298A"/>
    <w:rsid w:val="004C3850"/>
    <w:rsid w:val="004F14F6"/>
    <w:rsid w:val="00501326"/>
    <w:rsid w:val="00501C16"/>
    <w:rsid w:val="00504DD1"/>
    <w:rsid w:val="00515F5D"/>
    <w:rsid w:val="005306D1"/>
    <w:rsid w:val="00530F88"/>
    <w:rsid w:val="00531F28"/>
    <w:rsid w:val="005348CA"/>
    <w:rsid w:val="005431D3"/>
    <w:rsid w:val="00547468"/>
    <w:rsid w:val="00550AD0"/>
    <w:rsid w:val="00554D65"/>
    <w:rsid w:val="005552E3"/>
    <w:rsid w:val="0056404D"/>
    <w:rsid w:val="00566511"/>
    <w:rsid w:val="00567D4F"/>
    <w:rsid w:val="0058694F"/>
    <w:rsid w:val="00590582"/>
    <w:rsid w:val="005A7DCD"/>
    <w:rsid w:val="005B3964"/>
    <w:rsid w:val="005D769E"/>
    <w:rsid w:val="005E568A"/>
    <w:rsid w:val="00610566"/>
    <w:rsid w:val="00621C19"/>
    <w:rsid w:val="00644544"/>
    <w:rsid w:val="0064504F"/>
    <w:rsid w:val="0064741F"/>
    <w:rsid w:val="00663049"/>
    <w:rsid w:val="00682FB4"/>
    <w:rsid w:val="006A1824"/>
    <w:rsid w:val="006B2EFA"/>
    <w:rsid w:val="006D1028"/>
    <w:rsid w:val="006E0543"/>
    <w:rsid w:val="006E557B"/>
    <w:rsid w:val="006F6458"/>
    <w:rsid w:val="00702291"/>
    <w:rsid w:val="00702A19"/>
    <w:rsid w:val="00712D5D"/>
    <w:rsid w:val="007159EC"/>
    <w:rsid w:val="00726752"/>
    <w:rsid w:val="007479EB"/>
    <w:rsid w:val="00754E02"/>
    <w:rsid w:val="00774AB5"/>
    <w:rsid w:val="00780AC8"/>
    <w:rsid w:val="007862BC"/>
    <w:rsid w:val="00786D21"/>
    <w:rsid w:val="00792393"/>
    <w:rsid w:val="00795728"/>
    <w:rsid w:val="007A759D"/>
    <w:rsid w:val="007C130B"/>
    <w:rsid w:val="007C7C4E"/>
    <w:rsid w:val="007D0DBE"/>
    <w:rsid w:val="008009FC"/>
    <w:rsid w:val="00802694"/>
    <w:rsid w:val="008116E5"/>
    <w:rsid w:val="00813819"/>
    <w:rsid w:val="00826EB8"/>
    <w:rsid w:val="00831EBB"/>
    <w:rsid w:val="00836416"/>
    <w:rsid w:val="0084204E"/>
    <w:rsid w:val="00846EE7"/>
    <w:rsid w:val="00860920"/>
    <w:rsid w:val="008B6136"/>
    <w:rsid w:val="008C4F88"/>
    <w:rsid w:val="008D707F"/>
    <w:rsid w:val="008E5E05"/>
    <w:rsid w:val="009027C3"/>
    <w:rsid w:val="00905ABB"/>
    <w:rsid w:val="00906251"/>
    <w:rsid w:val="00917E28"/>
    <w:rsid w:val="00917F22"/>
    <w:rsid w:val="009221B7"/>
    <w:rsid w:val="00922417"/>
    <w:rsid w:val="00924812"/>
    <w:rsid w:val="00930662"/>
    <w:rsid w:val="009455E2"/>
    <w:rsid w:val="0096088E"/>
    <w:rsid w:val="009820B3"/>
    <w:rsid w:val="00985F8B"/>
    <w:rsid w:val="009867A1"/>
    <w:rsid w:val="0099448A"/>
    <w:rsid w:val="009A381A"/>
    <w:rsid w:val="009A7C2C"/>
    <w:rsid w:val="009C599F"/>
    <w:rsid w:val="009D705F"/>
    <w:rsid w:val="009E3BEA"/>
    <w:rsid w:val="009F35AE"/>
    <w:rsid w:val="009F7EF1"/>
    <w:rsid w:val="00A055C1"/>
    <w:rsid w:val="00A11272"/>
    <w:rsid w:val="00A2602B"/>
    <w:rsid w:val="00A41D0D"/>
    <w:rsid w:val="00A443F1"/>
    <w:rsid w:val="00A44B1E"/>
    <w:rsid w:val="00A6298F"/>
    <w:rsid w:val="00A66208"/>
    <w:rsid w:val="00AA3917"/>
    <w:rsid w:val="00AA4EE5"/>
    <w:rsid w:val="00AB21B5"/>
    <w:rsid w:val="00AB4EE6"/>
    <w:rsid w:val="00AC33B1"/>
    <w:rsid w:val="00AE41A9"/>
    <w:rsid w:val="00AE483C"/>
    <w:rsid w:val="00B176AA"/>
    <w:rsid w:val="00B22761"/>
    <w:rsid w:val="00B227C9"/>
    <w:rsid w:val="00B31742"/>
    <w:rsid w:val="00B36D00"/>
    <w:rsid w:val="00B540EA"/>
    <w:rsid w:val="00B56D7F"/>
    <w:rsid w:val="00B86394"/>
    <w:rsid w:val="00B879A3"/>
    <w:rsid w:val="00B9329D"/>
    <w:rsid w:val="00B95CFE"/>
    <w:rsid w:val="00B970E3"/>
    <w:rsid w:val="00BA0AC4"/>
    <w:rsid w:val="00BA293F"/>
    <w:rsid w:val="00BB13B7"/>
    <w:rsid w:val="00BC2DD3"/>
    <w:rsid w:val="00BC7A91"/>
    <w:rsid w:val="00BF121E"/>
    <w:rsid w:val="00C52B92"/>
    <w:rsid w:val="00C532DE"/>
    <w:rsid w:val="00C53D4D"/>
    <w:rsid w:val="00C548FB"/>
    <w:rsid w:val="00C75213"/>
    <w:rsid w:val="00C81D6D"/>
    <w:rsid w:val="00C85A44"/>
    <w:rsid w:val="00C91A22"/>
    <w:rsid w:val="00CA7130"/>
    <w:rsid w:val="00CB08EF"/>
    <w:rsid w:val="00CB53B9"/>
    <w:rsid w:val="00CB6089"/>
    <w:rsid w:val="00CE64BC"/>
    <w:rsid w:val="00D0080A"/>
    <w:rsid w:val="00D06BF9"/>
    <w:rsid w:val="00D07067"/>
    <w:rsid w:val="00D144D7"/>
    <w:rsid w:val="00D344AE"/>
    <w:rsid w:val="00D42F26"/>
    <w:rsid w:val="00D45BA9"/>
    <w:rsid w:val="00D658C5"/>
    <w:rsid w:val="00D75EE7"/>
    <w:rsid w:val="00D91F1B"/>
    <w:rsid w:val="00D945C5"/>
    <w:rsid w:val="00D97A7D"/>
    <w:rsid w:val="00DC55BB"/>
    <w:rsid w:val="00E0393F"/>
    <w:rsid w:val="00E11366"/>
    <w:rsid w:val="00E26419"/>
    <w:rsid w:val="00E402F3"/>
    <w:rsid w:val="00E44DB2"/>
    <w:rsid w:val="00E64CEF"/>
    <w:rsid w:val="00E73D2F"/>
    <w:rsid w:val="00E83254"/>
    <w:rsid w:val="00E86D6E"/>
    <w:rsid w:val="00E96B71"/>
    <w:rsid w:val="00EA2AB9"/>
    <w:rsid w:val="00EF32E7"/>
    <w:rsid w:val="00F0124A"/>
    <w:rsid w:val="00F02C80"/>
    <w:rsid w:val="00F05C90"/>
    <w:rsid w:val="00F06726"/>
    <w:rsid w:val="00F32B03"/>
    <w:rsid w:val="00F32C8D"/>
    <w:rsid w:val="00F50D12"/>
    <w:rsid w:val="00F54566"/>
    <w:rsid w:val="00F71623"/>
    <w:rsid w:val="00FA33CA"/>
    <w:rsid w:val="00FA4959"/>
    <w:rsid w:val="00FB7C84"/>
    <w:rsid w:val="00FD23DF"/>
    <w:rsid w:val="00FD26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C1887-12F5-4E39-B103-C68F5042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CD6"/>
    <w:pPr>
      <w:widowControl w:val="0"/>
      <w:jc w:val="both"/>
    </w:pPr>
  </w:style>
  <w:style w:type="paragraph" w:styleId="1">
    <w:name w:val="heading 1"/>
    <w:basedOn w:val="a"/>
    <w:next w:val="a"/>
    <w:link w:val="1Char"/>
    <w:uiPriority w:val="9"/>
    <w:qFormat/>
    <w:rsid w:val="00AE483C"/>
    <w:pPr>
      <w:keepNext/>
      <w:keepLines/>
      <w:spacing w:before="340" w:after="330" w:line="578" w:lineRule="auto"/>
      <w:outlineLvl w:val="0"/>
    </w:pPr>
    <w:rPr>
      <w:b/>
      <w:bCs/>
      <w:kern w:val="44"/>
      <w:sz w:val="28"/>
      <w:szCs w:val="44"/>
    </w:rPr>
  </w:style>
  <w:style w:type="paragraph" w:styleId="2">
    <w:name w:val="heading 2"/>
    <w:basedOn w:val="a"/>
    <w:next w:val="a"/>
    <w:link w:val="2Char"/>
    <w:uiPriority w:val="9"/>
    <w:unhideWhenUsed/>
    <w:qFormat/>
    <w:rsid w:val="00AE483C"/>
    <w:pPr>
      <w:keepNext/>
      <w:keepLines/>
      <w:spacing w:before="260" w:after="260" w:line="416" w:lineRule="auto"/>
      <w:outlineLvl w:val="1"/>
    </w:pPr>
    <w:rPr>
      <w:rFonts w:asciiTheme="majorHAnsi" w:eastAsiaTheme="majorEastAsia" w:hAnsiTheme="majorHAnsi" w:cstheme="majorBidi"/>
      <w:b/>
      <w:bCs/>
      <w:sz w:val="24"/>
      <w:szCs w:val="24"/>
    </w:rPr>
  </w:style>
  <w:style w:type="paragraph" w:styleId="3">
    <w:name w:val="heading 3"/>
    <w:basedOn w:val="a"/>
    <w:next w:val="a"/>
    <w:link w:val="3Char"/>
    <w:uiPriority w:val="9"/>
    <w:unhideWhenUsed/>
    <w:qFormat/>
    <w:rsid w:val="00AE483C"/>
    <w:pPr>
      <w:keepNext/>
      <w:keepLines/>
      <w:spacing w:before="260" w:after="260" w:line="416" w:lineRule="auto"/>
      <w:outlineLvl w:val="2"/>
    </w:pPr>
    <w:rPr>
      <w:rFonts w:ascii="宋体" w:hAnsi="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419"/>
    <w:pPr>
      <w:ind w:firstLineChars="200" w:firstLine="420"/>
    </w:pPr>
  </w:style>
  <w:style w:type="paragraph" w:styleId="a4">
    <w:name w:val="Balloon Text"/>
    <w:basedOn w:val="a"/>
    <w:link w:val="Char"/>
    <w:uiPriority w:val="99"/>
    <w:semiHidden/>
    <w:unhideWhenUsed/>
    <w:rsid w:val="001E7C49"/>
    <w:rPr>
      <w:sz w:val="18"/>
      <w:szCs w:val="18"/>
    </w:rPr>
  </w:style>
  <w:style w:type="character" w:customStyle="1" w:styleId="Char">
    <w:name w:val="批注框文本 Char"/>
    <w:basedOn w:val="a0"/>
    <w:link w:val="a4"/>
    <w:uiPriority w:val="99"/>
    <w:semiHidden/>
    <w:rsid w:val="001E7C49"/>
    <w:rPr>
      <w:sz w:val="18"/>
      <w:szCs w:val="18"/>
    </w:rPr>
  </w:style>
  <w:style w:type="character" w:customStyle="1" w:styleId="ask-title2">
    <w:name w:val="ask-title2"/>
    <w:basedOn w:val="a0"/>
    <w:rsid w:val="00D0080A"/>
  </w:style>
  <w:style w:type="character" w:customStyle="1" w:styleId="con">
    <w:name w:val="con"/>
    <w:basedOn w:val="a0"/>
    <w:rsid w:val="00A055C1"/>
  </w:style>
  <w:style w:type="character" w:styleId="a5">
    <w:name w:val="Emphasis"/>
    <w:basedOn w:val="a0"/>
    <w:uiPriority w:val="20"/>
    <w:qFormat/>
    <w:rsid w:val="003B65A9"/>
    <w:rPr>
      <w:i w:val="0"/>
      <w:iCs w:val="0"/>
      <w:color w:val="CC0000"/>
    </w:rPr>
  </w:style>
  <w:style w:type="paragraph" w:styleId="a6">
    <w:name w:val="Normal (Web)"/>
    <w:basedOn w:val="a"/>
    <w:uiPriority w:val="99"/>
    <w:unhideWhenUsed/>
    <w:rsid w:val="001B3AA8"/>
    <w:pPr>
      <w:widowControl/>
      <w:spacing w:before="100" w:beforeAutospacing="1" w:after="100" w:afterAutospacing="1"/>
      <w:jc w:val="left"/>
    </w:pPr>
    <w:rPr>
      <w:rFonts w:ascii="宋体" w:eastAsia="宋体" w:hAnsi="宋体" w:cs="宋体"/>
      <w:kern w:val="0"/>
      <w:sz w:val="24"/>
      <w:szCs w:val="24"/>
    </w:rPr>
  </w:style>
  <w:style w:type="paragraph" w:styleId="a7">
    <w:name w:val="footnote text"/>
    <w:basedOn w:val="a"/>
    <w:link w:val="Char0"/>
    <w:uiPriority w:val="99"/>
    <w:semiHidden/>
    <w:unhideWhenUsed/>
    <w:rsid w:val="00C53D4D"/>
    <w:pPr>
      <w:snapToGrid w:val="0"/>
      <w:jc w:val="left"/>
    </w:pPr>
    <w:rPr>
      <w:sz w:val="18"/>
      <w:szCs w:val="18"/>
    </w:rPr>
  </w:style>
  <w:style w:type="character" w:customStyle="1" w:styleId="Char0">
    <w:name w:val="脚注文本 Char"/>
    <w:basedOn w:val="a0"/>
    <w:link w:val="a7"/>
    <w:uiPriority w:val="99"/>
    <w:semiHidden/>
    <w:rsid w:val="00C53D4D"/>
    <w:rPr>
      <w:sz w:val="18"/>
      <w:szCs w:val="18"/>
    </w:rPr>
  </w:style>
  <w:style w:type="character" w:styleId="a8">
    <w:name w:val="footnote reference"/>
    <w:basedOn w:val="a0"/>
    <w:uiPriority w:val="99"/>
    <w:semiHidden/>
    <w:unhideWhenUsed/>
    <w:rsid w:val="00C53D4D"/>
    <w:rPr>
      <w:vertAlign w:val="superscript"/>
    </w:rPr>
  </w:style>
  <w:style w:type="character" w:styleId="a9">
    <w:name w:val="Placeholder Text"/>
    <w:basedOn w:val="a0"/>
    <w:uiPriority w:val="99"/>
    <w:semiHidden/>
    <w:rsid w:val="00774AB5"/>
    <w:rPr>
      <w:color w:val="808080"/>
    </w:rPr>
  </w:style>
  <w:style w:type="table" w:styleId="aa">
    <w:name w:val="Table Grid"/>
    <w:basedOn w:val="a1"/>
    <w:uiPriority w:val="59"/>
    <w:rsid w:val="009D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AE483C"/>
    <w:rPr>
      <w:b/>
      <w:bCs/>
      <w:kern w:val="44"/>
      <w:sz w:val="28"/>
      <w:szCs w:val="44"/>
    </w:rPr>
  </w:style>
  <w:style w:type="character" w:customStyle="1" w:styleId="2Char">
    <w:name w:val="标题 2 Char"/>
    <w:basedOn w:val="a0"/>
    <w:link w:val="2"/>
    <w:uiPriority w:val="9"/>
    <w:rsid w:val="00AE483C"/>
    <w:rPr>
      <w:rFonts w:asciiTheme="majorHAnsi" w:eastAsiaTheme="majorEastAsia" w:hAnsiTheme="majorHAnsi" w:cstheme="majorBidi"/>
      <w:b/>
      <w:bCs/>
      <w:sz w:val="24"/>
      <w:szCs w:val="24"/>
    </w:rPr>
  </w:style>
  <w:style w:type="character" w:customStyle="1" w:styleId="3Char">
    <w:name w:val="标题 3 Char"/>
    <w:basedOn w:val="a0"/>
    <w:link w:val="3"/>
    <w:uiPriority w:val="9"/>
    <w:rsid w:val="00AE483C"/>
    <w:rPr>
      <w:rFonts w:ascii="宋体" w:hAnsi="宋体"/>
      <w:b/>
      <w:bCs/>
      <w:sz w:val="24"/>
      <w:szCs w:val="24"/>
    </w:rPr>
  </w:style>
  <w:style w:type="paragraph" w:styleId="ab">
    <w:name w:val="Document Map"/>
    <w:basedOn w:val="a"/>
    <w:link w:val="Char1"/>
    <w:uiPriority w:val="99"/>
    <w:semiHidden/>
    <w:unhideWhenUsed/>
    <w:rsid w:val="007159EC"/>
    <w:rPr>
      <w:rFonts w:ascii="宋体" w:eastAsia="宋体"/>
      <w:sz w:val="18"/>
      <w:szCs w:val="18"/>
    </w:rPr>
  </w:style>
  <w:style w:type="character" w:customStyle="1" w:styleId="Char1">
    <w:name w:val="文档结构图 Char"/>
    <w:basedOn w:val="a0"/>
    <w:link w:val="ab"/>
    <w:uiPriority w:val="99"/>
    <w:semiHidden/>
    <w:rsid w:val="007159EC"/>
    <w:rPr>
      <w:rFonts w:ascii="宋体" w:eastAsia="宋体"/>
      <w:sz w:val="18"/>
      <w:szCs w:val="18"/>
    </w:rPr>
  </w:style>
  <w:style w:type="paragraph" w:styleId="ac">
    <w:name w:val="header"/>
    <w:basedOn w:val="a"/>
    <w:link w:val="Char2"/>
    <w:uiPriority w:val="99"/>
    <w:semiHidden/>
    <w:unhideWhenUsed/>
    <w:rsid w:val="007159E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semiHidden/>
    <w:rsid w:val="007159EC"/>
    <w:rPr>
      <w:sz w:val="18"/>
      <w:szCs w:val="18"/>
    </w:rPr>
  </w:style>
  <w:style w:type="paragraph" w:styleId="ad">
    <w:name w:val="footer"/>
    <w:basedOn w:val="a"/>
    <w:link w:val="Char3"/>
    <w:uiPriority w:val="99"/>
    <w:semiHidden/>
    <w:unhideWhenUsed/>
    <w:rsid w:val="007159EC"/>
    <w:pPr>
      <w:tabs>
        <w:tab w:val="center" w:pos="4153"/>
        <w:tab w:val="right" w:pos="8306"/>
      </w:tabs>
      <w:snapToGrid w:val="0"/>
      <w:jc w:val="left"/>
    </w:pPr>
    <w:rPr>
      <w:sz w:val="18"/>
      <w:szCs w:val="18"/>
    </w:rPr>
  </w:style>
  <w:style w:type="character" w:customStyle="1" w:styleId="Char3">
    <w:name w:val="页脚 Char"/>
    <w:basedOn w:val="a0"/>
    <w:link w:val="ad"/>
    <w:uiPriority w:val="99"/>
    <w:semiHidden/>
    <w:rsid w:val="007159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41161">
      <w:bodyDiv w:val="1"/>
      <w:marLeft w:val="0"/>
      <w:marRight w:val="0"/>
      <w:marTop w:val="0"/>
      <w:marBottom w:val="0"/>
      <w:divBdr>
        <w:top w:val="none" w:sz="0" w:space="0" w:color="auto"/>
        <w:left w:val="none" w:sz="0" w:space="0" w:color="auto"/>
        <w:bottom w:val="none" w:sz="0" w:space="0" w:color="auto"/>
        <w:right w:val="none" w:sz="0" w:space="0" w:color="auto"/>
      </w:divBdr>
      <w:divsChild>
        <w:div w:id="1912612758">
          <w:marLeft w:val="0"/>
          <w:marRight w:val="0"/>
          <w:marTop w:val="0"/>
          <w:marBottom w:val="0"/>
          <w:divBdr>
            <w:top w:val="none" w:sz="0" w:space="0" w:color="auto"/>
            <w:left w:val="none" w:sz="0" w:space="0" w:color="auto"/>
            <w:bottom w:val="none" w:sz="0" w:space="0" w:color="auto"/>
            <w:right w:val="none" w:sz="0" w:space="0" w:color="auto"/>
          </w:divBdr>
          <w:divsChild>
            <w:div w:id="792602523">
              <w:marLeft w:val="0"/>
              <w:marRight w:val="0"/>
              <w:marTop w:val="0"/>
              <w:marBottom w:val="0"/>
              <w:divBdr>
                <w:top w:val="none" w:sz="0" w:space="0" w:color="auto"/>
                <w:left w:val="none" w:sz="0" w:space="0" w:color="auto"/>
                <w:bottom w:val="none" w:sz="0" w:space="0" w:color="auto"/>
                <w:right w:val="none" w:sz="0" w:space="0" w:color="auto"/>
              </w:divBdr>
              <w:divsChild>
                <w:div w:id="808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8962">
      <w:bodyDiv w:val="1"/>
      <w:marLeft w:val="0"/>
      <w:marRight w:val="0"/>
      <w:marTop w:val="0"/>
      <w:marBottom w:val="0"/>
      <w:divBdr>
        <w:top w:val="none" w:sz="0" w:space="0" w:color="auto"/>
        <w:left w:val="none" w:sz="0" w:space="0" w:color="auto"/>
        <w:bottom w:val="none" w:sz="0" w:space="0" w:color="auto"/>
        <w:right w:val="none" w:sz="0" w:space="0" w:color="auto"/>
      </w:divBdr>
      <w:divsChild>
        <w:div w:id="2056201150">
          <w:marLeft w:val="0"/>
          <w:marRight w:val="0"/>
          <w:marTop w:val="0"/>
          <w:marBottom w:val="0"/>
          <w:divBdr>
            <w:top w:val="none" w:sz="0" w:space="0" w:color="auto"/>
            <w:left w:val="none" w:sz="0" w:space="0" w:color="auto"/>
            <w:bottom w:val="none" w:sz="0" w:space="0" w:color="auto"/>
            <w:right w:val="none" w:sz="0" w:space="0" w:color="auto"/>
          </w:divBdr>
          <w:divsChild>
            <w:div w:id="806243196">
              <w:marLeft w:val="0"/>
              <w:marRight w:val="0"/>
              <w:marTop w:val="0"/>
              <w:marBottom w:val="0"/>
              <w:divBdr>
                <w:top w:val="none" w:sz="0" w:space="0" w:color="auto"/>
                <w:left w:val="none" w:sz="0" w:space="0" w:color="auto"/>
                <w:bottom w:val="none" w:sz="0" w:space="0" w:color="auto"/>
                <w:right w:val="none" w:sz="0" w:space="0" w:color="auto"/>
              </w:divBdr>
              <w:divsChild>
                <w:div w:id="687829668">
                  <w:marLeft w:val="0"/>
                  <w:marRight w:val="0"/>
                  <w:marTop w:val="0"/>
                  <w:marBottom w:val="0"/>
                  <w:divBdr>
                    <w:top w:val="none" w:sz="0" w:space="0" w:color="auto"/>
                    <w:left w:val="none" w:sz="0" w:space="0" w:color="auto"/>
                    <w:bottom w:val="none" w:sz="0" w:space="0" w:color="auto"/>
                    <w:right w:val="none" w:sz="0" w:space="0" w:color="auto"/>
                  </w:divBdr>
                  <w:divsChild>
                    <w:div w:id="1300577862">
                      <w:marLeft w:val="0"/>
                      <w:marRight w:val="0"/>
                      <w:marTop w:val="120"/>
                      <w:marBottom w:val="0"/>
                      <w:divBdr>
                        <w:top w:val="none" w:sz="0" w:space="0" w:color="auto"/>
                        <w:left w:val="none" w:sz="0" w:space="0" w:color="auto"/>
                        <w:bottom w:val="none" w:sz="0" w:space="0" w:color="auto"/>
                        <w:right w:val="none" w:sz="0" w:space="0" w:color="auto"/>
                      </w:divBdr>
                      <w:divsChild>
                        <w:div w:id="9554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683229">
      <w:bodyDiv w:val="1"/>
      <w:marLeft w:val="0"/>
      <w:marRight w:val="0"/>
      <w:marTop w:val="0"/>
      <w:marBottom w:val="0"/>
      <w:divBdr>
        <w:top w:val="none" w:sz="0" w:space="0" w:color="auto"/>
        <w:left w:val="none" w:sz="0" w:space="0" w:color="auto"/>
        <w:bottom w:val="none" w:sz="0" w:space="0" w:color="auto"/>
        <w:right w:val="none" w:sz="0" w:space="0" w:color="auto"/>
      </w:divBdr>
      <w:divsChild>
        <w:div w:id="366490599">
          <w:marLeft w:val="0"/>
          <w:marRight w:val="0"/>
          <w:marTop w:val="0"/>
          <w:marBottom w:val="0"/>
          <w:divBdr>
            <w:top w:val="none" w:sz="0" w:space="0" w:color="auto"/>
            <w:left w:val="none" w:sz="0" w:space="0" w:color="auto"/>
            <w:bottom w:val="none" w:sz="0" w:space="0" w:color="auto"/>
            <w:right w:val="none" w:sz="0" w:space="0" w:color="auto"/>
          </w:divBdr>
          <w:divsChild>
            <w:div w:id="124392703">
              <w:marLeft w:val="0"/>
              <w:marRight w:val="0"/>
              <w:marTop w:val="0"/>
              <w:marBottom w:val="0"/>
              <w:divBdr>
                <w:top w:val="none" w:sz="0" w:space="0" w:color="auto"/>
                <w:left w:val="none" w:sz="0" w:space="0" w:color="auto"/>
                <w:bottom w:val="none" w:sz="0" w:space="0" w:color="auto"/>
                <w:right w:val="none" w:sz="0" w:space="0" w:color="auto"/>
              </w:divBdr>
              <w:divsChild>
                <w:div w:id="253825392">
                  <w:marLeft w:val="0"/>
                  <w:marRight w:val="0"/>
                  <w:marTop w:val="0"/>
                  <w:marBottom w:val="0"/>
                  <w:divBdr>
                    <w:top w:val="none" w:sz="0" w:space="0" w:color="auto"/>
                    <w:left w:val="none" w:sz="0" w:space="0" w:color="auto"/>
                    <w:bottom w:val="none" w:sz="0" w:space="0" w:color="auto"/>
                    <w:right w:val="none" w:sz="0" w:space="0" w:color="auto"/>
                  </w:divBdr>
                  <w:divsChild>
                    <w:div w:id="987251046">
                      <w:marLeft w:val="0"/>
                      <w:marRight w:val="0"/>
                      <w:marTop w:val="0"/>
                      <w:marBottom w:val="0"/>
                      <w:divBdr>
                        <w:top w:val="none" w:sz="0" w:space="0" w:color="auto"/>
                        <w:left w:val="none" w:sz="0" w:space="0" w:color="auto"/>
                        <w:bottom w:val="none" w:sz="0" w:space="0" w:color="auto"/>
                        <w:right w:val="none" w:sz="0" w:space="0" w:color="auto"/>
                      </w:divBdr>
                      <w:divsChild>
                        <w:div w:id="1774782312">
                          <w:marLeft w:val="0"/>
                          <w:marRight w:val="0"/>
                          <w:marTop w:val="0"/>
                          <w:marBottom w:val="900"/>
                          <w:divBdr>
                            <w:top w:val="none" w:sz="0" w:space="0" w:color="auto"/>
                            <w:left w:val="none" w:sz="0" w:space="0" w:color="auto"/>
                            <w:bottom w:val="none" w:sz="0" w:space="0" w:color="auto"/>
                            <w:right w:val="none" w:sz="0" w:space="0" w:color="auto"/>
                          </w:divBdr>
                          <w:divsChild>
                            <w:div w:id="1493717244">
                              <w:marLeft w:val="0"/>
                              <w:marRight w:val="0"/>
                              <w:marTop w:val="0"/>
                              <w:marBottom w:val="0"/>
                              <w:divBdr>
                                <w:top w:val="none" w:sz="0" w:space="0" w:color="auto"/>
                                <w:left w:val="none" w:sz="0" w:space="0" w:color="auto"/>
                                <w:bottom w:val="none" w:sz="0" w:space="0" w:color="auto"/>
                                <w:right w:val="none" w:sz="0" w:space="0" w:color="auto"/>
                              </w:divBdr>
                              <w:divsChild>
                                <w:div w:id="524829179">
                                  <w:marLeft w:val="0"/>
                                  <w:marRight w:val="0"/>
                                  <w:marTop w:val="0"/>
                                  <w:marBottom w:val="0"/>
                                  <w:divBdr>
                                    <w:top w:val="none" w:sz="0" w:space="0" w:color="auto"/>
                                    <w:left w:val="none" w:sz="0" w:space="0" w:color="auto"/>
                                    <w:bottom w:val="none" w:sz="0" w:space="0" w:color="auto"/>
                                    <w:right w:val="none" w:sz="0" w:space="0" w:color="auto"/>
                                  </w:divBdr>
                                  <w:divsChild>
                                    <w:div w:id="809980507">
                                      <w:marLeft w:val="0"/>
                                      <w:marRight w:val="0"/>
                                      <w:marTop w:val="0"/>
                                      <w:marBottom w:val="0"/>
                                      <w:divBdr>
                                        <w:top w:val="none" w:sz="0" w:space="0" w:color="auto"/>
                                        <w:left w:val="none" w:sz="0" w:space="0" w:color="auto"/>
                                        <w:bottom w:val="none" w:sz="0" w:space="0" w:color="auto"/>
                                        <w:right w:val="none" w:sz="0" w:space="0" w:color="auto"/>
                                      </w:divBdr>
                                      <w:divsChild>
                                        <w:div w:id="1660305444">
                                          <w:marLeft w:val="0"/>
                                          <w:marRight w:val="0"/>
                                          <w:marTop w:val="0"/>
                                          <w:marBottom w:val="0"/>
                                          <w:divBdr>
                                            <w:top w:val="none" w:sz="0" w:space="0" w:color="auto"/>
                                            <w:left w:val="none" w:sz="0" w:space="0" w:color="auto"/>
                                            <w:bottom w:val="none" w:sz="0" w:space="0" w:color="auto"/>
                                            <w:right w:val="none" w:sz="0" w:space="0" w:color="auto"/>
                                          </w:divBdr>
                                          <w:divsChild>
                                            <w:div w:id="1487358243">
                                              <w:marLeft w:val="0"/>
                                              <w:marRight w:val="0"/>
                                              <w:marTop w:val="0"/>
                                              <w:marBottom w:val="0"/>
                                              <w:divBdr>
                                                <w:top w:val="single" w:sz="6" w:space="0" w:color="EEEEEE"/>
                                                <w:left w:val="single" w:sz="2" w:space="0" w:color="EEEEEE"/>
                                                <w:bottom w:val="single" w:sz="6" w:space="0" w:color="EEEEEE"/>
                                                <w:right w:val="single" w:sz="6" w:space="0" w:color="EEEEEE"/>
                                              </w:divBdr>
                                              <w:divsChild>
                                                <w:div w:id="2105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494066">
      <w:bodyDiv w:val="1"/>
      <w:marLeft w:val="0"/>
      <w:marRight w:val="0"/>
      <w:marTop w:val="0"/>
      <w:marBottom w:val="0"/>
      <w:divBdr>
        <w:top w:val="none" w:sz="0" w:space="0" w:color="auto"/>
        <w:left w:val="none" w:sz="0" w:space="0" w:color="auto"/>
        <w:bottom w:val="none" w:sz="0" w:space="0" w:color="auto"/>
        <w:right w:val="none" w:sz="0" w:space="0" w:color="auto"/>
      </w:divBdr>
      <w:divsChild>
        <w:div w:id="1429348176">
          <w:marLeft w:val="0"/>
          <w:marRight w:val="0"/>
          <w:marTop w:val="0"/>
          <w:marBottom w:val="0"/>
          <w:divBdr>
            <w:top w:val="none" w:sz="0" w:space="0" w:color="auto"/>
            <w:left w:val="none" w:sz="0" w:space="0" w:color="auto"/>
            <w:bottom w:val="none" w:sz="0" w:space="0" w:color="auto"/>
            <w:right w:val="none" w:sz="0" w:space="0" w:color="auto"/>
          </w:divBdr>
          <w:divsChild>
            <w:div w:id="566958758">
              <w:marLeft w:val="0"/>
              <w:marRight w:val="0"/>
              <w:marTop w:val="0"/>
              <w:marBottom w:val="0"/>
              <w:divBdr>
                <w:top w:val="none" w:sz="0" w:space="0" w:color="auto"/>
                <w:left w:val="none" w:sz="0" w:space="0" w:color="auto"/>
                <w:bottom w:val="none" w:sz="0" w:space="0" w:color="auto"/>
                <w:right w:val="none" w:sz="0" w:space="0" w:color="auto"/>
              </w:divBdr>
              <w:divsChild>
                <w:div w:id="914096743">
                  <w:marLeft w:val="0"/>
                  <w:marRight w:val="0"/>
                  <w:marTop w:val="0"/>
                  <w:marBottom w:val="0"/>
                  <w:divBdr>
                    <w:top w:val="none" w:sz="0" w:space="0" w:color="auto"/>
                    <w:left w:val="none" w:sz="0" w:space="0" w:color="auto"/>
                    <w:bottom w:val="none" w:sz="0" w:space="0" w:color="auto"/>
                    <w:right w:val="none" w:sz="0" w:space="0" w:color="auto"/>
                  </w:divBdr>
                  <w:divsChild>
                    <w:div w:id="1518230616">
                      <w:marLeft w:val="0"/>
                      <w:marRight w:val="0"/>
                      <w:marTop w:val="0"/>
                      <w:marBottom w:val="0"/>
                      <w:divBdr>
                        <w:top w:val="none" w:sz="0" w:space="0" w:color="auto"/>
                        <w:left w:val="none" w:sz="0" w:space="0" w:color="auto"/>
                        <w:bottom w:val="none" w:sz="0" w:space="0" w:color="auto"/>
                        <w:right w:val="none" w:sz="0" w:space="0" w:color="auto"/>
                      </w:divBdr>
                      <w:divsChild>
                        <w:div w:id="1631740357">
                          <w:marLeft w:val="0"/>
                          <w:marRight w:val="0"/>
                          <w:marTop w:val="0"/>
                          <w:marBottom w:val="900"/>
                          <w:divBdr>
                            <w:top w:val="none" w:sz="0" w:space="0" w:color="auto"/>
                            <w:left w:val="none" w:sz="0" w:space="0" w:color="auto"/>
                            <w:bottom w:val="none" w:sz="0" w:space="0" w:color="auto"/>
                            <w:right w:val="none" w:sz="0" w:space="0" w:color="auto"/>
                          </w:divBdr>
                          <w:divsChild>
                            <w:div w:id="862018622">
                              <w:marLeft w:val="0"/>
                              <w:marRight w:val="0"/>
                              <w:marTop w:val="0"/>
                              <w:marBottom w:val="0"/>
                              <w:divBdr>
                                <w:top w:val="none" w:sz="0" w:space="0" w:color="auto"/>
                                <w:left w:val="none" w:sz="0" w:space="0" w:color="auto"/>
                                <w:bottom w:val="none" w:sz="0" w:space="0" w:color="auto"/>
                                <w:right w:val="none" w:sz="0" w:space="0" w:color="auto"/>
                              </w:divBdr>
                              <w:divsChild>
                                <w:div w:id="1341349722">
                                  <w:marLeft w:val="0"/>
                                  <w:marRight w:val="0"/>
                                  <w:marTop w:val="0"/>
                                  <w:marBottom w:val="0"/>
                                  <w:divBdr>
                                    <w:top w:val="none" w:sz="0" w:space="0" w:color="auto"/>
                                    <w:left w:val="none" w:sz="0" w:space="0" w:color="auto"/>
                                    <w:bottom w:val="none" w:sz="0" w:space="0" w:color="auto"/>
                                    <w:right w:val="none" w:sz="0" w:space="0" w:color="auto"/>
                                  </w:divBdr>
                                  <w:divsChild>
                                    <w:div w:id="2075853523">
                                      <w:marLeft w:val="0"/>
                                      <w:marRight w:val="0"/>
                                      <w:marTop w:val="0"/>
                                      <w:marBottom w:val="0"/>
                                      <w:divBdr>
                                        <w:top w:val="none" w:sz="0" w:space="0" w:color="auto"/>
                                        <w:left w:val="none" w:sz="0" w:space="0" w:color="auto"/>
                                        <w:bottom w:val="none" w:sz="0" w:space="0" w:color="auto"/>
                                        <w:right w:val="none" w:sz="0" w:space="0" w:color="auto"/>
                                      </w:divBdr>
                                      <w:divsChild>
                                        <w:div w:id="1822648187">
                                          <w:marLeft w:val="0"/>
                                          <w:marRight w:val="0"/>
                                          <w:marTop w:val="0"/>
                                          <w:marBottom w:val="0"/>
                                          <w:divBdr>
                                            <w:top w:val="none" w:sz="0" w:space="0" w:color="auto"/>
                                            <w:left w:val="none" w:sz="0" w:space="0" w:color="auto"/>
                                            <w:bottom w:val="none" w:sz="0" w:space="0" w:color="auto"/>
                                            <w:right w:val="none" w:sz="0" w:space="0" w:color="auto"/>
                                          </w:divBdr>
                                          <w:divsChild>
                                            <w:div w:id="1238322474">
                                              <w:marLeft w:val="0"/>
                                              <w:marRight w:val="0"/>
                                              <w:marTop w:val="0"/>
                                              <w:marBottom w:val="0"/>
                                              <w:divBdr>
                                                <w:top w:val="single" w:sz="6" w:space="0" w:color="EEEEEE"/>
                                                <w:left w:val="single" w:sz="2" w:space="0" w:color="EEEEEE"/>
                                                <w:bottom w:val="single" w:sz="6" w:space="0" w:color="EEEEEE"/>
                                                <w:right w:val="single" w:sz="6" w:space="0" w:color="EEEEEE"/>
                                              </w:divBdr>
                                              <w:divsChild>
                                                <w:div w:id="5149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CDE5-ED1B-4B06-B69A-C2B6CFF0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1295</Words>
  <Characters>7384</Characters>
  <Application>Microsoft Office Word</Application>
  <DocSecurity>0</DocSecurity>
  <Lines>61</Lines>
  <Paragraphs>17</Paragraphs>
  <ScaleCrop>false</ScaleCrop>
  <Company>Lenovo</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chenjian</dc:creator>
  <cp:lastModifiedBy>shnu</cp:lastModifiedBy>
  <cp:revision>9</cp:revision>
  <cp:lastPrinted>2017-01-15T07:37:00Z</cp:lastPrinted>
  <dcterms:created xsi:type="dcterms:W3CDTF">2017-10-18T06:08:00Z</dcterms:created>
  <dcterms:modified xsi:type="dcterms:W3CDTF">2019-03-28T01:57:00Z</dcterms:modified>
</cp:coreProperties>
</file>